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RU210064 vom 30. Juni 2021</w:t>
      </w:r>
    </w:p>
    <w:p>
      <w:r>
        <w:t>ZH Obergericht, 2021-06-30, DE</w:t>
      </w:r>
    </w:p>
    <w:p>
      <w:r>
        <w:rPr>
          <w:b/>
        </w:rPr>
        <w:t xml:space="preserve">Quelle: </w:t>
      </w:r>
      <w:r>
        <w:t>https://mcp.opencaselaw.ch/entscheid/zh_obergericht_RU210064</w:t>
      </w:r>
    </w:p>
    <w:p>
      <w:r>
        <w:t>FR: ZH_OBERGERICHT RU210064 du 30 juin 2021</w:t>
      </w:r>
    </w:p>
    <w:p>
      <w:r>
        <w:t>IT: ZH_OBERGERICHT RU210064 del 30 giugno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Verteidigung vermögenswerter Güter gilt im Regelfall nicht als Wahrung höchstpersönlicher Rechte (BK-Bucher/Aebi-Müller, Art. 19-19c ZGB N 255). Der Kläger, welcher prozessunfähig ist, kann daher nicht selbstständig eine Forde- rungsklage anheben. Mangels Genehmigung der Beschwerde durch den Vertre- tungsbeistand des Klägers fehlt es an einer Prozessvoraussetzung, weshalb auf die Beschwerde des Klägers vom 2. Juni 2021 nicht einzutreten ist (Art. 60 ZPO i.V.m. Art. 59 ZPO).</w:t>
      </w:r>
    </w:p>
    <w:p>
      <w:r>
        <w:rPr>
          <w:b/>
        </w:rPr>
        <w:t>E. 3</w:t>
      </w:r>
    </w:p>
    <w:p>
      <w:r>
        <w:t>Umständehalber sind für das vorliegende Beschwerdeverfahren keine Kos- ten zu erheben und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