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RU210047 vom 1. Juni 2021</w:t>
      </w:r>
    </w:p>
    <w:p>
      <w:r>
        <w:t>ZH Obergericht, 2021-06-01, DE</w:t>
      </w:r>
    </w:p>
    <w:p>
      <w:r>
        <w:rPr>
          <w:b/>
        </w:rPr>
        <w:t xml:space="preserve">Quelle: </w:t>
      </w:r>
      <w:r>
        <w:t>https://mcp.opencaselaw.ch/entscheid/zh_obergericht_RU210047</w:t>
      </w:r>
    </w:p>
    <w:p>
      <w:r>
        <w:t>FR: ZH_OBERGERICHT RU210047 du 1 juin 2021</w:t>
      </w:r>
    </w:p>
    <w:p>
      <w:r>
        <w:t>IT: ZH_OBERGERICHT RU210047 del 1 giugno 2021</w:t>
      </w:r>
    </w:p>
    <w:p>
      <w:pPr>
        <w:pStyle w:val="Heading2"/>
      </w:pPr>
      <w:r>
        <w:t>Erwägungen</w:t>
      </w:r>
    </w:p>
    <w:p>
      <w:r>
        <w:rPr>
          <w:b/>
        </w:rPr>
        <w:t>E. 1</w:t>
      </w:r>
    </w:p>
    <w:p>
      <w:r>
        <w:t>a) Mit Eingabe vom 6. April 2021 reichte die Klägerin und Beschwerdefüh- rerin (fortan Klägerin) beim Friedensrichteramt der Stadt Zürich, Kreise 7 + 8 (Eingang am 7. April 2021), ein Schlichtungsgesuch mit folgendem Rechtsbegeh- ren ein (Urk. 5/1 S. 1): " 1 - Es sei die Widerrechtlichkeit der wiederholten und andauernden Verletzung der Persönlichkeit der klagenden Partei durch die be- klagte Partei festzustellen, indem diese: - die Klägerin wiederholt beschimpft und beleidigt - übele Nachrede über die Klägerin verbreitet</w:t>
      </w:r>
    </w:p>
    <w:p>
      <w:r>
        <w:rPr>
          <w:b/>
        </w:rPr>
        <w:t>E. 2</w:t>
      </w:r>
    </w:p>
    <w:p>
      <w:r>
        <w:t>Die Beklagte sei verpflichtet, der Klägerin Schadenersatz und Ge- nugtuung in der Hohe von CHF1000 plus Zins von 5% seit 1. No- vember 2019 zu bezahlen.</w:t>
      </w:r>
    </w:p>
    <w:p>
      <w:r>
        <w:rPr>
          <w:b/>
        </w:rPr>
        <w:t>E. 3</w:t>
      </w:r>
    </w:p>
    <w:p>
      <w:r>
        <w:t>Die Kostenvorschuss sei von CHF250 auf CHF0 zu reduzieren.</w:t>
      </w:r>
    </w:p>
    <w:p>
      <w:r>
        <w:rPr>
          <w:b/>
        </w:rPr>
        <w:t>E. 4</w:t>
      </w:r>
    </w:p>
    <w:p>
      <w:r>
        <w:t>a) Das Gericht kann von der klagenden Partei einen Vorschuss bis zur Höhe der mutmasslichen Gerichtskosten verlangen (Art. 98 ZPO). Den Gerichten kommt bei der Handhabung dieser Vorschrift viel Ermessen zu. Der Vorschuss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 Somm/Hasenböhler/Leuenberger, ZPO Komm., Art. 207 N 3 f. m.w.H.). b) Gemäss den Erwägungen der angefochtenen Verfügung des Friedens- richteramtes der Stadt Zürich, Kreise 7 + 8, sei für das Schlichtungsverfahren mit Kosten von mutmasslich Fr. 250.– zu rechnen, weshalb die Friedensrichterin der Klägerin Frist ansetzte, um einen Kostenvorschuss gemäss Art. 98 ZPO in der Höhe von Fr. 250.– zu leisten (Urk. 2 S. 1). Der Kostenvorschuss wurde damit in- nerhalb des von § 3 Abs. 2 GebV OG vorgegebenen Rahmens festgelegt, wo- nach bei nicht vermögensrechtlichen Streitigkeiten die Gebühr für das Schlich- tungsverfahren Fr. 100.– bis Fr. 850.– beträgt. Die Höhe des festgesetzten Kos- tenvorschusses ist folglich nicht zu beanstanden. Die Friedensrichterin hat ihn im</w:t>
      </w:r>
    </w:p>
    <w:p>
      <w:r>
        <w:t>- 5 - Rahmen des ihr zustehenden Ermessens als Verfahrensleiterin des Schlichtungs- verfahrens korrekt festgesetzt. c) Sollte die Klägerin die Ansicht vertreten, der Kostenvorschuss betrage Fr. 0, da sie in der Zwischenzeit den gesamten Kostenvorschuss in der Höhe von Fr. 250.– der Schlichtungsbehörde bezahlt habe (Urk. 1 Ziff. 1 und Ziff. 5, Urk. 4/2-3), ist sie darauf hinzuweisen, dass das Schlichtungsverfahren erst durch die Leistung des vollständigen Kostenvorschusses an die Hand genommen wird (vgl. Urk. 2 S. 1). Die entsprechende Verfügung, mit welcher der Vorschuss be- tragsmässig festgesetzt und die Pflicht zu dessen Leistung begründet wird, wird durch die Bezahlung des Kostenvorschusses als Erfüllungshandlung hingegen nicht hinfällig. d) Die Beschwerde ist demnach abzuweisen.</w:t>
      </w:r>
    </w:p>
    <w:p>
      <w:r>
        <w:rPr>
          <w:b/>
        </w:rPr>
        <w:t>E. 5</w:t>
      </w:r>
    </w:p>
    <w:p>
      <w:r>
        <w:t>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rPr>
          <w:b/>
        </w:rPr>
        <w:t>E. 9</w:t>
      </w:r>
    </w:p>
    <w:p>
      <w:r>
        <w:t>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Die von der Klägerin geltend gemachte Nichtigkeit der angefochtenen Verfügung ist daher nicht gegeben.</w:t>
      </w:r>
    </w:p>
    <w:p>
      <w:r>
        <w:t>- 6 - 6. Mit dem vorliegenden Entscheid wird der Antrag um Erteilung der auf- schiebenden Wirkung obsolet. 7. Die zweitinstanzliche Entscheidgebühr ist in Anwendung von § 3 Abs. 2 sowie § 12 Abs. 1 und 2 GebV OG auf Fr. 200.– festzusetzen und der unterlie- genden Klägerin aufzuerlegen (Art. 106 Abs. 1 ZPO). Mangels wesentlicher Um- triebe ist der Beklagten und Beschwerdegegnerin (fortan Beklagte) für das zweit- instanzliche Verfahren keine Entschädigung zuzusprechen (Art. 95 Abs. 3 ZPO). Die Klägerin ihrerseits hat als unterliegende Partei keinen Anspruch auf Entschä- 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