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RU210036 vom 27. Mai 2021</w:t>
      </w:r>
    </w:p>
    <w:p>
      <w:r>
        <w:t>ZH Obergericht, 2021-05-27, DE</w:t>
      </w:r>
    </w:p>
    <w:p>
      <w:r>
        <w:rPr>
          <w:b/>
        </w:rPr>
        <w:t xml:space="preserve">Quelle: </w:t>
      </w:r>
      <w:r>
        <w:t>https://mcp.opencaselaw.ch/entscheid/zh_obergericht_RU210036</w:t>
      </w:r>
    </w:p>
    <w:p>
      <w:r>
        <w:t>FR: ZH_OBERGERICHT RU210036 du 27 mai 2021</w:t>
      </w:r>
    </w:p>
    <w:p>
      <w:r>
        <w:t>IT: ZH_OBERGERICHT RU210036 del 27 maggio 2021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November 2020 oder die Verfügung vom 8. Dezember 2020 richtet, da der Be- rufungskläger den angefochtenen Entscheid nicht beilegt (vgl. act. 80/2–6). Dies kann offen gelassen werden, denn die Berufung wäre in beiden Fällen verspätet:</w:t>
      </w:r>
    </w:p>
    <w:p>
      <w:r>
        <w:t>- 3 - Der Beschluss vom 5. November 2020 wurde dem Berufungskläger am 17. November 2020 zugestellt (act. 68/1). Die Berufungsfrist lief damit am 17. De- zember 2020 ab. Die Verfügung vom 8. Dezember 2020 wurde dem Berufungs- kläger am 14. Dezember 2020 zugestellt, die Berufungsfrist gegen diesen Ent- scheid (vgl. BGE 139 III 478 E. 6 f.) lief damit am 29. Januar 2021 ab. Die vorlie- gende Rechtsmitteleingabe vom 29. März 2021 ist damit in beiden Fällen verspä- tet, weshalb darauf nicht einzutreten ist. 3. Gemäss Art. 113 Abs. 2 lit. c ZPO werden für das Schlichtungsverfahren bei Streitigkeiten aus der Miete von Wohn- und Geschäftsräumen keine Gerichtskos- ten erhoben, was auch für das Rechtsmittelverfahren gilt. Ebenso findet die Rege- lung, wonach im Schlichtungsverfahren keine Parteientschädigungen zugespro- chen werden (Art. 113 Abs. 1 ZPO), auch im Rechtsmittelverfahren Anwendung (vgl. OGer ZH PD110010 vom 31. Oktober 2011 E. 4a). Folglich ist für das Beru- fungsverfahren von der Erhebung von Gerichtskosten abzusehen und es sind keine Parteientschädigungen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