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RU200045 vom 30. September 2020</w:t>
      </w:r>
    </w:p>
    <w:p>
      <w:r>
        <w:t>ZH Obergericht, 2020-09-30, DE</w:t>
      </w:r>
    </w:p>
    <w:p>
      <w:r>
        <w:rPr>
          <w:b/>
        </w:rPr>
        <w:t xml:space="preserve">Quelle: </w:t>
      </w:r>
      <w:r>
        <w:t>https://mcp.opencaselaw.ch/entscheid/zh_obergericht_RU200045</w:t>
      </w:r>
    </w:p>
    <w:p>
      <w:r>
        <w:t>FR: ZH_OBERGERICHT RU200045 du 30 septembre 2020</w:t>
      </w:r>
    </w:p>
    <w:p>
      <w:r>
        <w:t>IT: ZH_OBERGERICHT RU200045 del 30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15. Juni 2020 (Postaufgabe) erhob die Klägerin beim Frie- densrichteramt der Stadt Zürich, Kreise 7 + 8 (Vorinstanz), gegen die Beklagte ei- ne Klage mit diversen aus der nachbarlichen Stellung der Parteien herrührenden Forderungen (Urk. 1). Zur Hauptverhandlung vom 29. Juli 2020 erschien die Klä- gerin nicht. Mit Verfügung vom 29. Juli 2020 schrieb die Vorinstanz das Verfahren als gegenstandslos ab, setzte die Gerichtsgebühr auf Fr. 250.-- fest und auferleg- te die Kosten der Klägerin (Urk. 9 = Urk. 15). b) Hiergegen erhob die Klägerin am 14. September 2020 fristgerecht (vgl. Urk. 11) Beschwerde und stellte die Beschwerdeanträge (Urk. 14 S. 1): "1. Die Verfügung vom 29.07.2020 ist für nichtig zu erklären und aufzuhe- ben.</w:t>
      </w:r>
    </w:p>
    <w:p>
      <w:r>
        <w:rPr>
          <w:b/>
        </w:rPr>
        <w:t>E. 2</w:t>
      </w:r>
    </w:p>
    <w:p>
      <w:r>
        <w:t>Das Friedensrichteramt Kreis 7 ist aufzufordern, die Verhandlung im Bezug auf GV.2020.00127 zu verschieben auf den bereits eingeplanten Termin für GV.2020.00188 am 23. September 2020 um 9 Uhr.</w:t>
      </w:r>
    </w:p>
    <w:p>
      <w:r>
        <w:rPr>
          <w:b/>
        </w:rPr>
        <w:t>E. 3</w:t>
      </w:r>
    </w:p>
    <w:p>
      <w:r>
        <w:t>Die Rechnung 25098 im Bezug auf GV.2020.00137 ist für nichtig zu er- kläre und aufzuheben.</w:t>
      </w:r>
    </w:p>
    <w:p>
      <w:r>
        <w:rPr>
          <w:b/>
        </w:rPr>
        <w:t>E. 4</w:t>
      </w:r>
    </w:p>
    <w:p>
      <w:r>
        <w:t>a) Die Klägerin hat die meisten ihrer Klagebegehren nicht beziffert (Urk. 1, Urk. 7). Aufgrund des mit Eingabe vom 28. Juli 2020 (Urk. 7) nachge- reichten Klagebegehrens Ziffer 1 (Feststellung der Widerrechtlichkeit einer Per- sönlichkeitsverletzung) ist für das Beschwerdeverfahren von einer nicht vermö- gensrechtlichen Streitigkeit auszugehen. Die zweitinstanzliche Entscheidgebühr ist in Anwendung von § 3 Abs. 2 und 3 sowie § 12 der Gerichtsgebührenverord- nung auf Fr. 400.-- festzusetzen. b) Die Gerichtskosten des Beschwerdeverfahrens sind ausgangsgemäss der Klägerin aufzuerlegen (Art. 106 Abs. 1 ZPO). c) Für das Beschwerdeverfahren sind keine Parteientschädigungen zuzu- sprechen, der Klägerin zufolge ihres Unterliegens, der Beklagten mangels rele- vanter Umtriebe (Art. 106 Abs. 1,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