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RU200041 vom 24. September 2020</w:t>
      </w:r>
    </w:p>
    <w:p>
      <w:r>
        <w:t>ZH Obergericht, 2020-09-24, DE</w:t>
      </w:r>
    </w:p>
    <w:p>
      <w:r>
        <w:rPr>
          <w:b/>
        </w:rPr>
        <w:t xml:space="preserve">Quelle: </w:t>
      </w:r>
      <w:r>
        <w:t>https://mcp.opencaselaw.ch/entscheid/zh_obergericht_RU200041</w:t>
      </w:r>
    </w:p>
    <w:p>
      <w:r>
        <w:t>FR: ZH_OBERGERICHT RU200041 du 24 septembre 2020</w:t>
      </w:r>
    </w:p>
    <w:p>
      <w:r>
        <w:t>IT: ZH_OBERGERICHT RU200041 del 24 settembre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Es rechtfertigt sich, für das Beschwerdeverfahren umständehalber auf die Erhebung von Kosten zu verzichten. Sodann sind für das Beschwerdeverfah- ren keine Entschädigungen zuzusprechen, der Klägerin mangels wesentlicher</w:t>
      </w:r>
    </w:p>
    <w:p>
      <w:r>
        <w:t>- 3 - Umtriebe, der Beklagten zufolge ihres Unterliegens (Art. 95 Abs. 3 ZPO,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