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RU200024 vom 11. Juni 2020</w:t>
      </w:r>
    </w:p>
    <w:p>
      <w:r>
        <w:t>ZH Obergericht, 2020-06-11, DE</w:t>
      </w:r>
    </w:p>
    <w:p>
      <w:r>
        <w:rPr>
          <w:b/>
        </w:rPr>
        <w:t xml:space="preserve">Quelle: </w:t>
      </w:r>
      <w:r>
        <w:t>https://mcp.opencaselaw.ch/entscheid/zh_obergericht_RU200024</w:t>
      </w:r>
    </w:p>
    <w:p>
      <w:r>
        <w:t>FR: ZH_OBERGERICHT RU200024 du 11 juin 2020</w:t>
      </w:r>
    </w:p>
    <w:p>
      <w:r>
        <w:t>IT: ZH_OBERGERICHT RU200024 del 11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4. April 2020 reichte die Klägerin und Beschwerdeführerin beim Frie- densrichteramt Zürich, Kreise 3 und 9, ein Schlichtungsgesuch betreffend Testa- mentsanfechtung / Erbteilung ein (Urk. 4/1). Mit Verfügung vom 29. April 2020 sis- tierte der zuständige Friedensrichter das Schlichtungsverfahren bis zur Erledigung einer von der Klägerin ebenfalls erhobenen Beschwerde beim Bezirksrat (Urk. 4/4 = Urk. 2). Hiergegen erhob die Klägerin mit Eingabe vom 17. Mai 2020 (Datum Poststempel 18. Mai 2020) Beschwerde (Urk. 1).</w:t>
      </w:r>
    </w:p>
    <w:p>
      <w:r>
        <w:rPr>
          <w:b/>
        </w:rPr>
        <w:t>E. 2</w:t>
      </w:r>
    </w:p>
    <w:p>
      <w:r>
        <w:t>Die Beschwerde muss konkrete Begehren (Rechtsmittelanträge) enthalten (ZK ZPO - Freiburghaus/Afheldt, Art. 321 N 14). Mit ihr können unrichtige Rechts- anwendung und offensichtlich unrichtige Feststellung des Sachverhalts geltend gemacht werden (Art. 320 ZPO). Im Beschwerdeverfahren gilt das Rügeprinzip (ZK ZPO - Freiburghaus/Afheldt, Art. 321 N 15), d.h. die Beschwerde führende Partei hat im Einzelnen darzulegen, an welchen Mängeln (unrichtige Rechtsan- wendung, offensichtlich unrichtige Feststellung des Sachverhalts) der angefoch- tene Entscheid ihrer Ansicht nach leidet. Fehlen rechtsgenügende Anträge oder werden keine oder ungenügende Rügen erhoben, stellt dies einen nicht behebba- ren Mangel dar (vgl. Art. 132 ZPO). Auf die Beschwerde ist diesfalls infolge Feh- lens einer Zulässigkeitsvoraussetzung nicht einzutreten (BGer 5A_205/2015 vom 22. Oktober 2015, E. 5.2. mit Hinweisen). 3.1. Die Vorinstanz erachtete offenbar eine Sistierung des Schlichtungsverfah- rens als angezeigt, da die Klägerin im Zusammenhang mit der Erbteilung einen Beschluss der Kindes- und Erwachsenenschutzbehörde beim Bezirksrat ange- fochten habe, weshalb das Schlichtungsverfahren bis zum Abschluss des Be- schwerdeverfahrens durch den Bezirksrat zu sistieren sei (vgl. Urk. 2 bzw. Urk. 4/3-4). 3.2. Die Eingabe der Klägerin vom 17. Mai 2020 ist als Beschwerde unzu- reichend, da die Klägerin darin zum einen keine Anträge stellt und sie sich zum anderen mit der durch die Vorinstanz angeordneten Sistierung nicht auseinander- setzt, sondern vielmehr pauschal ihren Unmut über die Umstände des Todes ihrer</w:t>
      </w:r>
    </w:p>
    <w:p>
      <w:r>
        <w:t>- 3 - Mutter, die Testamentseröffnung sowie den Erbgang im Allgemeinen kundtut. Die Klägerin unterlässt es darzulegen, wieso die Sistierung des Schlichtungsverfah- rens nicht korrekt sein soll bzw. inwiefern diese das Gebot der beförderlichen Prozesserledigung verletze (vgl. BK ZPO I - Frei, Art. 126 N 22). Damit aber er- weist sich die vorliegende Beschwerde als offensichtlich unzulässig, weshalb da- rauf nicht einzutreten ist. Auf das Einholen einer Beschwerdeantwort kann ver- zichtet werden (Art. 322 Abs. 1 ZPO).</w:t>
      </w:r>
    </w:p>
    <w:p>
      <w:r>
        <w:rPr>
          <w:b/>
        </w:rPr>
        <w:t>E. 4</w:t>
      </w:r>
    </w:p>
    <w:p>
      <w:r>
        <w:t>Die Entscheidgebühr ist gestützt auf § 9 Abs. 1 GebV OG in Verbindung mit § 12 Abs. 1 und Abs. 2 GebV OG auf Fr. 200.– festzusetzen. Für das Beschwer- deverfahren sind keine Parteientschädigungen zuzusprechen, der Klägerin zufol- ge Unterliegens (Art. 106 Abs. 1 ZPO) und dem Beklagten mangels relevanter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