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RU190051 vom 30. Januar 2020</w:t>
      </w:r>
    </w:p>
    <w:p>
      <w:r>
        <w:t>ZH Obergericht, 2020-01-30, DE</w:t>
      </w:r>
    </w:p>
    <w:p>
      <w:r>
        <w:rPr>
          <w:b/>
        </w:rPr>
        <w:t xml:space="preserve">Quelle: </w:t>
      </w:r>
      <w:r>
        <w:t>https://mcp.opencaselaw.ch/entscheid/zh_obergericht_RU190051</w:t>
      </w:r>
    </w:p>
    <w:p>
      <w:r>
        <w:t>FR: ZH_OBERGERICHT RU190051 du 30 janvier 2020</w:t>
      </w:r>
    </w:p>
    <w:p>
      <w:r>
        <w:t>IT: ZH_OBERGERICHT RU190051 del 30 gennaio 2020</w:t>
      </w:r>
    </w:p>
    <w:p>
      <w:pPr>
        <w:pStyle w:val="Heading2"/>
      </w:pPr>
      <w:r>
        <w:t>Erwägungen</w:t>
      </w:r>
    </w:p>
    <w:p>
      <w:r>
        <w:rPr>
          <w:b/>
        </w:rPr>
        <w:t>E. 12</w:t>
      </w:r>
    </w:p>
    <w:p>
      <w:r>
        <w:t>Oktober 2012, E. 4.3.; BGer 5A_272/2017 vom 7. November 2017, E. 5.3.) leidet, liegen jedenfalls keine genügenden Indizien vor (vgl. dazu BK – Bu- cher/Aebi-Müller, Art. 16 ZGB N 167). So legt die Beklagte nicht einmal dar, von wem sie von einer angeblich fortgeschrittenen Demenz erfahren haben will. Es liegen vorliegend keine Umstände vor, welche es erheischen, weitere Abklärun- gen betreffend die Urteilsfähigkeit des Klägers zu tätigen. Dass der Kläger die Generalvollmacht selber unterschrieb, ist durch eine Unterschriftsbeglaubigung der Stadtkanzlei D._____ beurkundet (Urk. 35/2). Es ist deshalb nicht ersichtlich, was die Beklagte aus (lediglich unmerklich) voneinander abweichenden Schriftbil- dern von Unterschriften und mindestens einem nicht selbst eingesetzten Datum ableiten möchte (Urk. 40 S. 3 mit Verweis auf Urk. 1, Urk. 35/2 und Urk. 42/5). Damit wird für das vorliegende Beschwerdeverfahren davon ausgegangen, dass der Kläger im Zeitpunkt der Vollmachtserteilung an seine Ehefrau urteilsfähig war. Daraus folgt, dass sowohl die Einleitung als auch der Rückzug des vorliegenden Beschwerdeverfahrens durch die Ehefrau des Klägers als dessen Vertreterin nicht zu beanstanden sind. Lediglich der Vollständigkeit halber bleibt zu erwähnen, dass wenn der Kläger seine Ehefrau nicht mehr zur Handlungsbevollmächtigten hätte ernennen können (und diese im Beschwerdeverfahren als falsus procurator aufgetreten wäre), der zuständigen KESB Gelegenheit zu geben wäre, die Anhe- bung und den Rückzug der Beschwerde zu genehmigen (Art. 69 Abs. 2 ZPO; Art. 416 Abs. 1 Ziff. 9 ZGB) und entgegen der Beklagten nicht einfach das Verfah- ren abgeschrieben werden könnte. 3.1. Das Beschwerdeverfahren betrifft zudem die Frage, ob lic. oec. publ. X._____ als berufsmässiger Vertreter sowohl vor Vorinstanz als auch im Be- schwerdeverfahren handelt(e) und somit zur Vertretung befugt ist bzw. war. Der Vertreter machte in seiner Beschwerde geltend, dass zwischen ihm und dem Klä- ger kein Mandatsverhältnis bestehe und die Vertretung unentgeltlich und gefällig- keitshalber erfolge (Urk. 19 Blatt 3). Infolge Beschwerderückzugs braucht die Fra- ge nur noch für das Rechtsmittelverfahren geprüft zu werden – wobei die dazu vorgebrachten Noven zu berücksichtigen sind. Die Beklagte bestreitet, dass der Vertreter des Klägers seinen Mandanten unentgeltlich bzw. nicht berufsmässig</w:t>
      </w:r>
    </w:p>
    <w:p>
      <w:r>
        <w:t>- 6 - vertrete (Urk. 27 S. 2). Die frühere Zahnarztpraxis des Klägers sei von der E._____ AG treuhänderisch betreut worden, während die Rechtsberatung (im Schlichtungsverfahren und im vorliegenden Beschwerdeverfahren) nicht von die- ser Aktiengesellschaft, sondern von der dafür bestimmten Einzelfirma des Vertre- ters des Klägers erbracht worden sei und werde (Urk. 27 S. 3 f. unter Verweis auf Urk. 29/1-4). Anzunehmen, dass ein hauptberuflicher Rechtsberater ohne An- waltspatent einen ansonsten stets für alle Dienstleistungen zahlenden Mandaten seiner Treuhandfirma unentgeltlich an einem zeitaufwändigen Schlichtungs- und nun auch noch in einem Beschwerdeverfahren vertrete, sei geradezu lebens- fremd. Während der aktiven Geschäftstätigkeit des Klägers habe keine der Ge- sellschaften seines Vertreters je unentgeltlich Leistungen erbracht. Ob der Vertre- ter des Klägers seine Bemühungen im Zusammenhang mit dem Schlichtungsver- fahren über die E._____ AG abgerechnet habe, wisse die Beklagte nicht. Der Ver- treter sei bereits in der vorprozessualen Korrespondenz als Angestellter einer ge- winnorientierten Aktiengesellschaft aufgetreten, und er weise im Kopf seiner vor- liegenden Beschwerdeschrift selber auf seine geschäftliche Homepage hin, unter welcher er sich explizit als Rechtsberater einem offenen Publikum anpreise (Urk. 27 S. 4). Der Vertreter wiederum machte in seiner Stellungnahme vom 22. November 2019 geltend, die Einzelfirma F._____, stehe mit dem Kläger in keinem Mandatsverhältnis und ihre Existenz sei deshalb im vorliegenden Verfah- ren nicht weiter beachtlich (Urk. 31 Blatt 2 unter Verweis auf Urk. 32). Der Kläger habe es auch aufgrund seiner Erkrankung versäumt, für seine Praxis rechtzeitig eine adäquate Nachfolgelösung zu finden. Schliesslich seien die inzwischen ver- äusserte Praxis sowie der Kläger und dessen Ehefrau in finanzielle Schieflage ge- raten. Es habe sich zwischen dem Kläger und seiner Ehefrau sowie dem Ehepaar X._____ eine Freundschaft entwickelt. In dieser Situation hätten der Vertreter und seine Ehefrau sich entschlossen, einen Teil ihrer Leistungen unentgeltlich zu er- bringen (Urk. 31 Blatt 2 f.). Mit Blick auf die Verhältnismässigkeit könne sich der Kläger vorliegend eine berufsmässige und honorarpflichtige Vertretung ganz ein- fach nicht leisten (Urk. 31 Blatt 3). Die Beklagte macht geltend, dass private Gründe, unentgeltlich für den Kläger zu prozessieren, vorgeschoben seien und</w:t>
      </w:r>
    </w:p>
    <w:p>
      <w:r>
        <w:t>- 7 - stellt darüber hinaus Mutmassungen an, worum es dem Vertreter gehen könnte (Urk. 40 S. 4 f.). 3.2. Gemäss Art. 68 Abs. 1 ZPO kann sich jede prozessfähige Person im Prozess vertreten lassen. Die berufsmässige Vertretung ist dabei grundsätzlich registrierten Anwältinnen und Anwälten vorbehalten (Art. 68 Abs. 2 lit. a ZPO). Ist die Berechtigung des Vertreters zweifelhaft, so ist sie vorweg abzuklären (Art. 60 ZPO; BK ZPO I-Sterchi, Art. 60 N 6). Die Beweislast hinsichtlich Prozessvoraus- setzungen ist von der Parteirolle abhängig, dies im Unterschied zur Beweislast bei Tatbestandsvoraussetzungen (BK ZPO I-Sterchi, Art. 60 N 18). Es stellt sich die Frage, ob der Vertreter lic. oec. publ. X._____ berufsmässig handelt. Gemäss Bundesgericht handelt ein Vertreter bereits berufsmässig, wenn er bereit ist, in ei- ner unbestimmten Zahl von Fällen tätig zu werden. Entgegen den Parteien (und dem Friedensrichter, vgl. Urk. 14) kommt es nicht darauf an, ob er ein Entgelt be- zieht oder zu Erwerbszwecken als Vertreter auftritt (BGE 140 III 555 E. 2). Die Einschränkung der Zulässigkeit der berufsmässigen Vertretung gemäss Art. 68 Abs. 2 lit. a ZPO auf Anwälte, die gemäss BGFA zur Parteivertretung vor schwei- zerischen Gerichten berechtigt sind, dient der Sicherung der Qualität der Vertre- tung. Ein Schutzbedürfnis des Publikums besteht bereits dann, wenn der Vertreter bereit ist, in einer unbestimmten Vielzahl von Fällen tätig zu werden. Darauf kann dann geschlossen werden, wenn er bereit ist, die Vertretung ohne besondere Be- ziehungsnähe zum Vertretenen zu übernehmen (E. 2.3). Der Vertreter der Ehe- frau des Klägers schildert jedoch gerade eine besondere Beziehungsnähe zum Kläger und dessen Ehefrau, darauf ist abzustellen. Bei den von der Beklagten an- geführten Argumenten handelt es sich vorwiegend um Mutmassungen. Die Be- klagte legt darüber hinaus nicht dar, dass der Vertreter auch in anderen Fällen Personen vor Gericht vertritt. Damit ist (trotz gewisser Unstimmigkeiten wie dem mehrfach wechselnden Briefkopf des Vertreters; entgegen seinen Ausführungen benutzte er auch das Briefpapier mit der Aufschrift "F._____"; Urk. 4) vorliegend auf keine berufsmässige Vertretung zu schliessen. 4. Zusammenfassend ist von der Urteilsfähigkeit des Klägers im Zeit- punkt, als er seiner Ehefrau am 15. Juli 2019 eine Generalvollmacht erteilte, aus-</w:t>
      </w:r>
    </w:p>
    <w:p>
      <w:r>
        <w:t>- 8 - zugehen. Die Ehefrau wiederum wurde von lic. oec. publ. X._____ rechtmässig im vorliegenden Beschwerdeverfahren vertreten. Damit liegt ein gültiger Rückzug der Beschwerde vor und das Verfahren ist entsprechend abzuschreiben. II. Da der Streitwert in der vorliegenden arbeitsrechtlichen Streitigkeit in der Hauptsache mit Fr. 5'990.90 (Urk. 20) unter Fr. 30'000.– liegt, sind keine Ge- richtskosten zu erheben (Art. 114 lit. c ZPO). Indessen ist der Kläger für das Be- schwerdeverfahren antragsgemäss (Urk. 27 S. 2) zur Leistung einer Parteient- schädigung an die Beklagte zu verpflichten. Diese ist aufgrund des vorliegenden Streitwertes auf Fr. 1'000.– festzusetzen (§ 4 Abs. 1, § 11 Abs. 2 und § 13 Abs. 1 und 4 AnwGebV; Mehrwertsteuer inbegriffen).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