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RU190021 vom 7. Mai 2019</w:t>
      </w:r>
    </w:p>
    <w:p>
      <w:r>
        <w:t>ZH Obergericht, 2019-05-07, DE</w:t>
      </w:r>
    </w:p>
    <w:p>
      <w:r>
        <w:rPr>
          <w:b/>
        </w:rPr>
        <w:t xml:space="preserve">Quelle: </w:t>
      </w:r>
      <w:r>
        <w:t>https://mcp.opencaselaw.ch/entscheid/zh_obergericht_RU190021</w:t>
      </w:r>
    </w:p>
    <w:p>
      <w:r>
        <w:t>FR: ZH_OBERGERICHT RU190021 du 7 mai 2019</w:t>
      </w:r>
    </w:p>
    <w:p>
      <w:r>
        <w:t>IT: ZH_OBERGERICHT RU190021 del 7 maggio 2019</w:t>
      </w:r>
    </w:p>
    <w:p>
      <w:pPr>
        <w:pStyle w:val="Heading2"/>
      </w:pPr>
      <w:r>
        <w:t>Erwägungen</w:t>
      </w:r>
    </w:p>
    <w:p>
      <w:r>
        <w:rPr>
          <w:b/>
        </w:rPr>
        <w:t>E. 1</w:t>
      </w:r>
    </w:p>
    <w:p>
      <w:r>
        <w:t>a) Am 29. September 2016 reichte der Kläger beim Friedensrichter- amt Kreise 1+2 der Stadt Zürich (Vorinstanz) ein Schlichtungsgesuch für eine ar- beitsrechtliche Forderung von Fr. 70'000.-- brutto nebst Zins und Kostenfolgen ein (Urk. 1). Infolge Konkurseröffnung über die Beklagte am 18. Oktober 2016 (vgl. Urk. 7) sistierte die Vorinstanz das Verfahren mit Verfügung vom 4. November 2016 (Urk. 8). Mit E-Mail vom 25. Februar 2019 setzte die Vorinstanz dem Kläger eine Frist zur Stellungnahme, ob er die Klage zurückziehen oder das Verfahren fortsetzen wolle; ohne Stellungnahme werde vom Klagerückzug ausgegangen (Urk. 20). Mit Verfügung vom 6. März 2019 schrieb die Vorinstanz das Verfahren als durch vorbehaltlosen Klagerückzug erledigt ab (Urk. 21 = Urk. 25). b) Hiergegen erhob der Kläger am 6. April 2019 (Datum des Poststem- pels) fristgerecht (Urk. 23) Beschwerde und stellte die Beschwerdeanträge (Urk. 24): "1. Die obgenannte Verfügung sei aufzuheben und das Verfahren sei fort- zusetzen.</w:t>
      </w:r>
    </w:p>
    <w:p>
      <w:r>
        <w:rPr>
          <w:b/>
        </w:rPr>
        <w:t>E. 2</w:t>
      </w:r>
    </w:p>
    <w:p>
      <w:r>
        <w:t>Die Gerichtsgebühr sei aufzuheben oder allenfalls der beklagten Partei zu überbinden.</w:t>
      </w:r>
    </w:p>
    <w:p>
      <w:r>
        <w:rPr>
          <w:b/>
        </w:rPr>
        <w:t>E. 3</w:t>
      </w:r>
    </w:p>
    <w:p>
      <w:r>
        <w:t>a) Soweit sich die Beschwerde des Klägers gegen die vorinstanzli- che Abschreibung des Schlichtungsverfahrens richtet, ist die Beschwerde kein zu- lässiges Rechtsmittel. Nach der bundesgerichtlichen Rechtsprechung kann gegen die auf einer Parteierklärung beruhende Abschreibungsverfügung kein Rechtsmit- tel ergriffen werden, sondern kann nur die betreffende Parteierklärung als solche (einzig) mit einer Revision angefochten werden (BGE 139 III 133). Insoweit kann damit auf die Beschwerde nicht eingetreten werden. b) Ein Revisionsgesuch ist sodann nicht bei der Rechtsmittelinstanz, son- dern bei derjenigen Behörde einzureichen, bei der zuletzt über die Sache verhan- delt wurde bzw. verhandelt worden wäre und bei der die fragliche Parteierklärung eingereicht wurde (BK ZPO-Sterchi, Art. 328 N 7; zustimmend Schwander, DIKE- Komm. ZPO, Art. 328 N 20; Obergericht Zürich, Beschluss vom 27. März 2019, RU190018-O, E. 2). Ein Revisionsgesuch wäre damit bei der Vorinstanz einzu- reichen. c) Zwecks Vermeidung prozessualer Leerläufe ist die Vorinstanz darauf hinzuweisen, dass eine Fristansetzung mittels gewöhnlicher (unsignierter) E-Mail keine gesetzliche Zustellungsform darstellt (vgl. Art. 139 ZPO). Ob eine Säumnis nach einer Fristansetzung als genügende Parteierklärung im Sinne von Art. 208 Abs. 1 ZPO betrachtet werden kann, braucht an dieser Stelle nicht entschieden zu werden, erscheint aber fraglich (vgl. Honegger, in: Sutter-Somm/Hasenböhler/ Leuenberger, ZPO-Komm., Art. 208 N 4). d) Soweit sich die Beschwerde des Klägers gegen die vorinstanzliche Regelung der Kosten- und Entschädigungsfolgen richtet, ist sie zwar an sich zu- lässig. Die Beschwerdeschrift enthält dazu jedoch entgegen der Begründungsan- forderung (Art. 321 Abs. 1 ZPO) kein Wort der Begründung, weshalb auch inso-</w:t>
      </w:r>
    </w:p>
    <w:p>
      <w:r>
        <w:t>- 4 - weit – und damit vollumfänglich – auf die Beschwerde nicht eingetreten werden kann. Der Beschwerde wäre diesbezüglich aber auch bei einem Eintreten kein Er- folg beschieden gewesen, denn solange die Verfahrensabschreibung zufolge Rückzug besteht, entspricht die Kostenauflage an die klagende Partei dem Ge- setz (Art. 106 Abs. 1 ZPO).</w:t>
      </w:r>
    </w:p>
    <w:p>
      <w:r>
        <w:rPr>
          <w:b/>
        </w:rPr>
        <w:t>E. 4</w:t>
      </w:r>
    </w:p>
    <w:p>
      <w:r>
        <w:t>a) Der Streitwert für das Beschwerdeverfahren beträgt Fr. 70'000.--. Die zweitinstanzliche Entscheidgebühr ist in Anwendung von § 3 und § 12 der Ge- richtsgebührenverordnung auf Fr. 250.-- festzusetzen. b) Die Gerichtskosten des Beschwerdeverfahrens sind ausgangsgemäss dem Kläger aufzuerlegen (Art. 106 Abs. 1 ZPO). c) Für das Beschwerdeverfahren sind keine Parteientschädigungen zuzu- sprechen, dem Kläger zufolge seines Unterliegens, der Beklagten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