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RU190002 vom 7. März 2019</w:t>
      </w:r>
    </w:p>
    <w:p>
      <w:r>
        <w:t>ZH Obergericht, 2019-03-07, DE</w:t>
      </w:r>
    </w:p>
    <w:p>
      <w:r>
        <w:rPr>
          <w:b/>
        </w:rPr>
        <w:t xml:space="preserve">Quelle: </w:t>
      </w:r>
      <w:r>
        <w:t>https://mcp.opencaselaw.ch/entscheid/zh_obergericht_RU190002</w:t>
      </w:r>
    </w:p>
    <w:p>
      <w:r>
        <w:t>FR: ZH_OBERGERICHT RU190002 du 7 mars 2019</w:t>
      </w:r>
    </w:p>
    <w:p>
      <w:r>
        <w:t>IT: ZH_OBERGERICHT RU190002 del 7 marzo 2019</w:t>
      </w:r>
    </w:p>
    <w:p>
      <w:pPr>
        <w:pStyle w:val="Heading2"/>
      </w:pPr>
      <w:r>
        <w:t>Erwägungen</w:t>
      </w:r>
    </w:p>
    <w:p>
      <w:r>
        <w:rPr>
          <w:b/>
        </w:rPr>
        <w:t>E. 1</w:t>
      </w:r>
    </w:p>
    <w:p>
      <w:r>
        <w:t>Der Kläger und Beschwerdeführer (fortan Kläger) stellte mit Eingabe vom 3. Dezember 2018 beim Friedensrichteramt Freienstein-Teufen (Vorinstanz) ein Schlichtungsgesuch betreffend Nachbarrecht, wobei er den Rückschnitt der Thujahecke zwischen seinem und dem Nachbargrundstück verlangte (Urk. 1). Das Schlichtungsgesuch ging am 5. Dezember 2012 bei der Vorinstanz ein (Urk. 9). Bereits am 5. Dezember 2018 teilte der Kläger der Vorinstanz mit, dass sein "Anliegen an die StoWE B._____ erledigt worden" sei, weshalb seine Einga- be "sistiert" werden könne (Urk. 3). Daraufhin forderte die Vorinstanz den Kläger auf, eine schriftliche Bestätigung zuzustellen, dass er seine Klage vollumfänglich zurückziehe (Urk. 4), worauf der Kläger die ausgedruckte E-Mail mit seiner Unter- schrift versehen im Briefkasten der Vorinstanz deponierte (Urk. 5). Mit Verfügung vom 7. Dezember 2018 entschied die Vorinstanz Folgendes (Urk. 9): "1. Das Verfahren wird als durch vorbehaltlosen Klagerückzug erledigt abgeschrieben.</w:t>
      </w:r>
    </w:p>
    <w:p>
      <w:r>
        <w:rPr>
          <w:b/>
        </w:rPr>
        <w:t>E. 2</w:t>
      </w:r>
    </w:p>
    <w:p>
      <w:r>
        <w:t>Die Gerichtsgebühr wird auf CHF 100.00 festgesetzt.</w:t>
      </w:r>
    </w:p>
    <w:p>
      <w:r>
        <w:rPr>
          <w:b/>
        </w:rPr>
        <w:t>E. 3</w:t>
      </w:r>
    </w:p>
    <w:p>
      <w:r>
        <w:t>Die Kosten werden der klagenden Partei auferlegt.</w:t>
      </w:r>
    </w:p>
    <w:p>
      <w:r>
        <w:rPr>
          <w:b/>
        </w:rPr>
        <w:t>E. 4</w:t>
      </w:r>
    </w:p>
    <w:p>
      <w:r>
        <w:t>Schriftliche Mitteilung an die Parteien, je gegen Empfangsschein.</w:t>
      </w:r>
    </w:p>
    <w:p>
      <w:r>
        <w:rPr>
          <w:b/>
        </w:rPr>
        <w:t>E. 5</w:t>
      </w:r>
    </w:p>
    <w:p>
      <w:r>
        <w:t>Ausgangsgemäss sind die Kosten des Beschwerdeverfahrens dem Kläger aufzuerlegen (Art. 106 Abs. 1 ZPO). Die Entscheidgebühr ist in Anwen- dung von § 3 Abs. 1 GebV OG auf Fr. 100.– festzusetzen. Parteientschädigungen sind für das Beschwerdeverfahren keine zuzusprechen, dem Kläger infolge sei- nes Unterliegens, der Beklagten mangels erheblicher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