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RU180060 vom 2. November 2018</w:t>
      </w:r>
    </w:p>
    <w:p>
      <w:r>
        <w:t>ZH Obergericht, 2018-11-02, DE</w:t>
      </w:r>
    </w:p>
    <w:p>
      <w:r>
        <w:rPr>
          <w:b/>
        </w:rPr>
        <w:t xml:space="preserve">Quelle: </w:t>
      </w:r>
      <w:r>
        <w:t>https://mcp.opencaselaw.ch/entscheid/zh_obergericht_RU180060</w:t>
      </w:r>
    </w:p>
    <w:p>
      <w:r>
        <w:t>FR: ZH_OBERGERICHT RU180060 du 2 novembre 2018</w:t>
      </w:r>
    </w:p>
    <w:p>
      <w:r>
        <w:t>IT: ZH_OBERGERICHT RU180060 del 2 novembre 2018</w:t>
      </w:r>
    </w:p>
    <w:p>
      <w:pPr>
        <w:pStyle w:val="Heading2"/>
      </w:pPr>
      <w:r>
        <w:t>Erwägungen</w:t>
      </w:r>
    </w:p>
    <w:p>
      <w:r>
        <w:rPr>
          <w:b/>
        </w:rPr>
        <w:t>E. 1</w:t>
      </w:r>
    </w:p>
    <w:p>
      <w:r>
        <w:t>Das Verfahren wird als durch Vergleich erledigt abgeschrieben.</w:t>
      </w:r>
    </w:p>
    <w:p>
      <w:r>
        <w:rPr>
          <w:b/>
        </w:rPr>
        <w:t>E. 2</w:t>
      </w:r>
    </w:p>
    <w:p>
      <w:r>
        <w:t>Die Gerichtsgebühr wird auf CHF 615.00 festgesetzt und mit dem Kos- tenvorschuss der Klägerin verrechnet.</w:t>
      </w:r>
    </w:p>
    <w:p>
      <w:r>
        <w:rPr>
          <w:b/>
        </w:rPr>
        <w:t>E. 3</w:t>
      </w:r>
    </w:p>
    <w:p>
      <w:r>
        <w:t>Die Kosten werden den Parteien je zur Hälfte auferlegt. Der Beklagte wird verpflichtet, der Klägerin den Kostenvorschuss im Umfang von 307.50 zu erstatten.</w:t>
      </w:r>
    </w:p>
    <w:p>
      <w:r>
        <w:rPr>
          <w:b/>
        </w:rPr>
        <w:t>E. 4</w:t>
      </w:r>
    </w:p>
    <w:p>
      <w:r>
        <w:t>[Schriftliche Mitteilung]</w:t>
      </w:r>
    </w:p>
    <w:p>
      <w:r>
        <w:rPr>
          <w:b/>
        </w:rPr>
        <w:t>E. 5</w:t>
      </w:r>
    </w:p>
    <w:p>
      <w:r>
        <w:t>Schriftliche Mitteilung an die Parteien, an den Beklagten unter Beilage der Doppel von Urk. 9 und Urk. 11, und an die Vorinstanz, je gegen Empfangs- schein. Die vorinstanzlichen Akten gehen nach unbenütztem Ablauf der Rechtsmit- telfrist an die Vorinstanz zurück.</w:t>
      </w:r>
    </w:p>
    <w:p>
      <w:r>
        <w:t>- 5 -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307.50. Die Beschwerde an das Bundesgericht hat keine aufschiebende Wirkung. Hinsichtlich des Fristenlaufs gelten die Art. 44 ff. BGG. Zürich, 2. November 2018 Obergericht des Kantons Zürich I. Zivilkammer Der Gerichtsschreiber: lic. iur. F. Rieke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