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RU160046 vom 26. Juli 2016</w:t>
      </w:r>
    </w:p>
    <w:p>
      <w:r>
        <w:t>ZH Obergericht, 2016-07-26, DE</w:t>
      </w:r>
    </w:p>
    <w:p>
      <w:r>
        <w:rPr>
          <w:b/>
        </w:rPr>
        <w:t xml:space="preserve">Quelle: </w:t>
      </w:r>
      <w:r>
        <w:t>https://mcp.opencaselaw.ch/entscheid/zh_obergericht_RU160046</w:t>
      </w:r>
    </w:p>
    <w:p>
      <w:r>
        <w:t>FR: ZH_OBERGERICHT RU160046 du 26 juillet 2016</w:t>
      </w:r>
    </w:p>
    <w:p>
      <w:r>
        <w:t>IT: ZH_OBERGERICHT RU160046 del 26 luglio 2016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Gegen den angefochtenen Sistierungsbeschluss der Schlichtungsbehörde ist die Beschwerde nach Art. 319 lit. b i.V.m. Art. 126 Abs. 2 ZPO zulässig. Auf die rechtzeitig schriftlich und begründet erhobene Beschwerde ist einzutreten.</w:t>
      </w:r>
    </w:p>
    <w:p>
      <w:r>
        <w:t>- 3 - Der Beschwerdeführer begründet seine Beschwerde im Wesentlichen damit, dass er mehr Zeit für die Suche einer neuen Wohnung benötige. Von der Durch- führung einer Schlichtungsverhandlung erhoffe er sich, dass er seine Situation persönlich darlegen und allenfalls eine Fristverlängerung erreichen könne (act. 2).</w:t>
      </w:r>
    </w:p>
    <w:p>
      <w:r>
        <w:rPr>
          <w:b/>
        </w:rPr>
        <w:t>E. 3</w:t>
      </w:r>
    </w:p>
    <w:p>
      <w:r>
        <w:t>Die Kostenfreiheit des Schlichtungsverfahrens nach Art. 113 Abs. 2 ZPO (insb. betreffend Miete und Pacht von Wohnräumen vgl. lit. c der Bestimmung) gilt nach der Praxis der Kammer auch im Rechtsmittelverfahren (vgl. OGer ZH, RU150009 vom 19. Februar 2015, E. 3; OGer ZH PD110005 vom 23. Juni 2011, E. 2; ZR 112 Nr. 12). In Anwendung von Art. 113 Abs. 1 ZPO ist deshalb auch keine Parteientschädigung zuzusprechen, wobei eine solche vorliegend auch deshalb ausser Betracht fällt, weil der obsiegenden Beschwerdegegnerin keine Umtriebe entstanden sind.</w:t>
      </w:r>
    </w:p>
    <w:p>
      <w:r>
        <w:t>- 4 -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