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RU140029 vom 24. Juni 2014</w:t>
      </w:r>
    </w:p>
    <w:p>
      <w:r>
        <w:t>ZH Obergericht, 2014-06-24, DE</w:t>
      </w:r>
    </w:p>
    <w:p>
      <w:r>
        <w:rPr>
          <w:b/>
        </w:rPr>
        <w:t xml:space="preserve">Quelle: </w:t>
      </w:r>
      <w:r>
        <w:t>https://mcp.opencaselaw.ch/entscheid/zh_obergericht_RU140029</w:t>
      </w:r>
    </w:p>
    <w:p>
      <w:r>
        <w:t>FR: ZH_OBERGERICHT RU140029 du 24 juin 2014</w:t>
      </w:r>
    </w:p>
    <w:p>
      <w:r>
        <w:t>IT: ZH_OBERGERICHT RU140029 del 24 giugno 2014</w:t>
      </w:r>
    </w:p>
    <w:p>
      <w:pPr>
        <w:pStyle w:val="Heading2"/>
      </w:pPr>
      <w:r>
        <w:t>Erwägungen</w:t>
      </w:r>
    </w:p>
    <w:p>
      <w:r>
        <w:rPr>
          <w:b/>
        </w:rPr>
        <w:t>E. 3</w:t>
      </w:r>
    </w:p>
    <w:p>
      <w:r>
        <w:t>Im Verfahren betreffend unentgeltliche Rechtspflege werden grund- sätzlich keine Kosten erhoben (Art. 119 Abs. 6 ZPO). Nach bundesgerichtlicher Rechtsprechung gilt dies allerdings nur für das Gesuchsverfahren, nicht jedoch für ein gegen den abschlägigen Gesuchsentscheid gerichtetes Beschwerdeverfahren (BGE 137 III 470). Demgemäss sind für das vorliegende Beschwerdeverfahren Gerichtskosten festzusetzen und ausgangsgemäss dem unterliegenden Gesuch- steller aufzuerlegen (Art. 106 Abs. 1 ZPO). Die Gerichtskosten sind in Anwendung von §12 Abs. 1 und 2 GebV OG in Verbindung mit § 4 Abs. 1 GebV OG auf Fr. 150.– festzusetzen.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