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RU130011 vom 19. März 2013</w:t>
      </w:r>
    </w:p>
    <w:p>
      <w:r>
        <w:t>ZH Obergericht, 2013-03-19, DE</w:t>
      </w:r>
    </w:p>
    <w:p>
      <w:r>
        <w:rPr>
          <w:b/>
        </w:rPr>
        <w:t xml:space="preserve">Quelle: </w:t>
      </w:r>
      <w:r>
        <w:t>https://mcp.opencaselaw.ch/entscheid/zh_obergericht_RU130011</w:t>
      </w:r>
    </w:p>
    <w:p>
      <w:r>
        <w:t>FR: ZH_OBERGERICHT RU130011 du 19 mars 2013</w:t>
      </w:r>
    </w:p>
    <w:p>
      <w:r>
        <w:t>IT: ZH_OBERGERICHT RU130011 del 19 marzo 2013</w:t>
      </w:r>
    </w:p>
    <w:p>
      <w:pPr>
        <w:pStyle w:val="Heading2"/>
      </w:pPr>
      <w:r>
        <w:t>Erwägungen</w:t>
      </w:r>
    </w:p>
    <w:p>
      <w:r>
        <w:rPr>
          <w:b/>
        </w:rPr>
        <w:t>E. 1</w:t>
      </w:r>
    </w:p>
    <w:p>
      <w:r>
        <w:t>a) Am 22. November 2012 reichte der Kläger beim Friedensrichter- amt Eglisau auf elektronischem Weg (signiertes Mail) ein Schlichtungsgesuch ein (Urk. 1). Die Beklagte ist die Verwalterin der Stockwerkeigentümerschaft, welcher der Kläger angehört. Der Streitwert wurde am 2. Dezember 2012 auf elektroni- schem Weg (gewöhnliches Mail) mit Fr. 8'000.-- angegeben (Urk. 2). Am 5. De- zember 2012 erging die schriftliche Vorladung zur Verhandlung auf den 16. Janu- ar 2013 (Urk. 3). Nachdem der Kläger die Vorladung nicht abgeholt hatte, wurde sie am 4. Januar 2013 erneut versandt, jedoch auch diesmal nicht abgeholt (Urk. 4). Die Beklagte äusserte sich am 17. Dezember 2012 schriftlich zum Schlich- tungsgesuch (Urk. 5). Da an der Verhandlung vom 16. Januar 2013 niemand er- schien (Urk. 6), verfügte der Friedensrichter am selben Tag (Urk. 7 = Urk.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