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RU120049 vom 11. September 2012</w:t>
      </w:r>
    </w:p>
    <w:p>
      <w:r>
        <w:t>ZH Obergericht, 2012-09-11, DE</w:t>
      </w:r>
    </w:p>
    <w:p>
      <w:r>
        <w:rPr>
          <w:b/>
        </w:rPr>
        <w:t xml:space="preserve">Quelle: </w:t>
      </w:r>
      <w:r>
        <w:t>https://mcp.opencaselaw.ch/entscheid/zh_obergericht_RU120049</w:t>
      </w:r>
    </w:p>
    <w:p>
      <w:r>
        <w:t>FR: ZH_OBERGERICHT RU120049 du 11 septembre 2012</w:t>
      </w:r>
    </w:p>
    <w:p>
      <w:r>
        <w:t>IT: ZH_OBERGERICHT RU120049 del 11 settembre 2012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September 2012 zur Schlichtungsverhandlung vor (act. 8). Am 23. August 2012 verschob er die Verhandlung auf Gesuch vom 20. August 2012 der Gemeinde- verwaltung B._____ auf den 3. Oktober 2012 (act. 12 und 14). Mit Eingabe an das Obergericht vom 27. August 2012 erhob A._____ gegen die Verhandlungsverschiebung Beschwerde. Er erklärte, er akzeptiere die Verschie- bung nicht; die Gemeindeverwaltung versuche, sich vor der Zahlung seiner For- derung zu drücken (act. 23). Die Akten des Friedensrichters wurden beigezogen. II. 1. Der Beschwerdeführer macht mit seiner Beschwerde gegen die Verhandlungs- verschiebung sinngemäss geltend, es liege kein zureichender Grund zur Ver- handlungsverschiebung vor (Art. 135 ZPO). Bei der Verschiebung einer Verhandlung handelt es sich um eine prozessleitende Verfügung im Sinne von Art. 319 lit. b ZPO. Als solche ist sie, da das Gesetz für Verhandlungsverschiebungen nichts anderes vorsieht, mit der Beschwerde grundsätzlich nur anfechtbar, wenn durch sie ein nicht leicht wiedergutzumachen- der Nachteil droht (Art. 319 lit. b ZPO). Einen solchen vermag der Beschwerde- führer nicht darzutun. Auf seine Beschwerde ist deshalb, soweit er sinngemäss eine Verletzung von Art. 135 ZPO rügt, nicht einzutreten.</w:t>
      </w:r>
    </w:p>
    <w:p>
      <w:r>
        <w:t>- 3 - 2. Unabhängig davon, ob ein anfechtbarer Entscheid vorliegt, ist die Beschwerde auch zulässig in Fällen von Rechtsverzögerung (Art. 319 lit. c ZPO). Die Gutheis- sung eines Verschiebungsgesuchs kann, wenn sie gegen das Beschleunigungs- gebot verstösst, eine Rechtsverzögerung darstellen (vgl. Huber, DIKE-Komm- ZPO, Art. 135 N 17 [Online-Stand: 9.9.2011]; ZK ZPO-Staehelin, Art. 135 N 5; BSK ZPO-Bühler, Art. 135 N 10; KUKO SchKG-Weber, Art. 135 N 7). Von einer Rechtsverzögerung kann im vorliegenden Fall allerdings nicht die Rede sein. Das Schlichtungsgesuch ging am 16. August 2012 beim Friedensrichteramt ein; am 3. Oktober 2012 wird die (verschobene) Verhandlung stattfinden. Damit ist das in der Verfassung verankerte Beschleunigungsgebot nicht verletzt (Art. 29 Abs. 1 BV). Art. 203 Abs. 1 ZPO schreibt vor, dass die Schlichtungsverhandlung innert zwei Monaten seit Eingang des Gesuchs stattzufinden hat. Soweit die Beschwer- de als Rechtsverzögerungsbeschwerde zu verstehen und als solche trotz der ru- dimentären Begründung überhaupt zu behandeln ist, ist sie abzuweisen. III. 1. Bei diesem Ausgang des Verfahrens wird der Beschwerdeführer kostenpflichtig (Art. 106 Abs. 1 ZPO). Parteientschädigungen sind nicht zuzusprechen. 2. Was die Möglichkeit des Weiterzuges dieses Entscheides an das Bundesge- richt betrifft, ist darauf hinzuweisen, dass es sich um einen Zwischenentscheid im Sinne von Art. 93 Abs. 1 des Bundesgesetzes über das Bundesgericht (BGG) handelt. Die Beschwerde an das Bundesgericht (hier: subsidiäre Verfassungsbe- schwerde) ist somit grundsätzlich nur zulässig, wenn der Entscheid einen nicht wieder gutzumachenden Nachteil bewirken kann (Art. 93 Abs. 1 lit. a in Verbin- dung mit Art. 117 BGG). Auf diese Voraussetzung verzichtet das Bundesgericht, wenn ihm Beschwerden gegen Entscheide über Rechtsverzögerungsbeschwer- den unterbreitet werden (BGer 5A_669/2011 vom 12. Dezember 2011, Erw. 1.1; BGE 134 IV 43). 3. Der Friedensrichter führt in seinen Akten die Gemeindeverwaltung B._____ als Beklagte auf (act. 8 ff.). Es handelt sich um eine offensichtlich falsche Parteibe-</w:t>
      </w:r>
    </w:p>
    <w:p>
      <w:r>
        <w:t>- 4 - zeichnung, die der Friedensrichter zu berichtigen haben wird. Die Parteifähigkeit kommt der politischen Gemeinde B._____ zu, nicht deren Verwaltung.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