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RU120020 vom 17. April 2012</w:t>
      </w:r>
    </w:p>
    <w:p>
      <w:r>
        <w:t>ZH Obergericht, 2012-04-17, DE</w:t>
      </w:r>
    </w:p>
    <w:p>
      <w:r>
        <w:rPr>
          <w:b/>
        </w:rPr>
        <w:t xml:space="preserve">Quelle: </w:t>
      </w:r>
      <w:r>
        <w:t>https://mcp.opencaselaw.ch/entscheid/zh_obergericht_RU120020</w:t>
      </w:r>
    </w:p>
    <w:p>
      <w:r>
        <w:t>FR: ZH_OBERGERICHT RU120020 du 17 avril 2012</w:t>
      </w:r>
    </w:p>
    <w:p>
      <w:r>
        <w:t>IT: ZH_OBERGERICHT RU120020 del 17 aprile 2012</w:t>
      </w:r>
    </w:p>
    <w:p>
      <w:pPr>
        <w:pStyle w:val="Heading2"/>
      </w:pPr>
      <w:r>
        <w:t>Erwägungen</w:t>
      </w:r>
    </w:p>
    <w:p>
      <w:r>
        <w:rPr>
          <w:b/>
        </w:rPr>
        <w:t>E. 1</w:t>
      </w:r>
    </w:p>
    <w:p>
      <w:r>
        <w:t>Am 2. Februar 2012 stellte die Klägerin ein Schlichtungsgesuch betreffend eine arbeitsrechtliche Streitigkeit zwischen ihr und der beklagten …, C._____, um Lohn von Fr. 2'250.– brutto für Januar 2012 gemäss Arbeitsvertrag vom 18. Okto- ber 2011 mit Stellenantritt als Köchin per 1. Januar 2012 (Urk. 11, Urk. 1). Am 6. Februar 2012 wurden die Parteien auf den 22. Februar 2012 zur Schlichtungsver- handlung vor dem Friedensrichteramt C._____ (nachfolgend: Vorinstanz) vorge- laden. Mit der Vorladung wurde u.a. darauf hingewiesen, dass bei Säumnis der beklagten Partei bei Antrag ein Entscheid gefällt werden könne (Urk. 12, S. 2). Die Vorladung wurde den Parteien am 8. (Klägerin) bzw. 9. (… bzw. deren "Inha- ber" A._____) Februar 2012 zugestellt (Urk. 14, Urk. 15). Am 22. Februar 2012 wurde die Schlichtungsverhandlung durchgeführt. Nachdem kein Vergleich zu- stande gekommen war, reduzierte die Klägerin ihre Forderung auf Fr. 2'000.– und beantragte einen Entscheid. Als beklagte Partei wurde A._____ bezeichnet. Es wurden die Parteivorträge (Begründung und Beantwortung der Klage, Replik und Duplik) durchgeführt. Alsdann wurden beide Parteien nach Ermahnung zur Wahr- heit und unter Hinweis auf die Folgen bei mutwilligem Leugnen im Sinne von Art. 191 ZPO persönlich befragt (vgl. Urk. 16 [Prot. I]). Gleichentags erliess die Vo- rinstanz folgendes Urteil (mit schriftlicher Begründung, vgl. Urk. 17, Urk.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