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RU110018 vom 8. März 2012</w:t>
      </w:r>
    </w:p>
    <w:p>
      <w:r>
        <w:t>ZH Obergericht, 2012-03-08, DE</w:t>
      </w:r>
    </w:p>
    <w:p>
      <w:r>
        <w:rPr>
          <w:b/>
        </w:rPr>
        <w:t xml:space="preserve">Quelle: </w:t>
      </w:r>
      <w:r>
        <w:t>https://mcp.opencaselaw.ch/entscheid/zh_obergericht_RU110018</w:t>
      </w:r>
    </w:p>
    <w:p>
      <w:r>
        <w:t>FR: ZH_OBERGERICHT RU110018 du 8 mars 2012</w:t>
      </w:r>
    </w:p>
    <w:p>
      <w:r>
        <w:t>IT: ZH_OBERGERICHT RU110018 del 8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27. Mai 2011 beantragte der Gesuchsteller im Rahmen eines Schlich- tungsverfahrens die Gewährung der unentgeltlichen Rechtspflege. Die Friedens- richterin leitete das Gesuch an den Obergerichtspräsidenten weiter (Urk. 1-3). Dieser wies das Gesuch mit Urteil vom 21. Juni 2011 ab (Urk. 6). Das Urteil wur- de dem Gesuchsteller am 28. Juni 2011 zugestellt (Urk. 7/1). Mit Eingabe vom</w:t>
      </w:r>
    </w:p>
    <w:p>
      <w:r>
        <w:rPr>
          <w:b/>
        </w:rPr>
        <w:t>E. 6</w:t>
      </w:r>
    </w:p>
    <w:p>
      <w:r>
        <w:t>Das Beschwerdeverfahren gegen einen abweisenden kantonalen Entscheid betreffend unentgeltliche Rechtspflege ist kostenpflichtig (BGE 137 III 470). Die Kosten des Beschwerdeverfahrens sind dem unterliegenden Gesuchsteller auf- zuerlegen (Art. 106 Abs. 1 ZPO). Zugunsten des Gesuchstellers ist (gemäss Kla- gebewilligung, Urk. 3) von einem Streitwert von Fr. 32'500.– auszugehen. Die Entscheidgebühr ist in Anwendung von § 2 lit. a, c und d, § 4 Abs. 1 und 2 sowie § 12 Abs. 1 und 2 GebV OG (LS 211.11) auf Fr. 300.– festzusetzen. Es besteht kein Entschädigungsanspruch.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