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RT260021 vom 24. Februar 2026</w:t>
      </w:r>
    </w:p>
    <w:p>
      <w:r>
        <w:t>ZH Obergericht, 2026-02-24, DE</w:t>
      </w:r>
    </w:p>
    <w:p>
      <w:r>
        <w:rPr>
          <w:b/>
        </w:rPr>
        <w:t xml:space="preserve">Quelle: </w:t>
      </w:r>
      <w:r>
        <w:t>https://mcp.opencaselaw.ch/entscheid/zh_obergericht_RT260021</w:t>
      </w:r>
    </w:p>
    <w:p>
      <w:r>
        <w:t>FR: ZH_OBERGERICHT RT260021 du 24 février 2026</w:t>
      </w:r>
    </w:p>
    <w:p>
      <w:r>
        <w:t>IT: ZH_OBERGERICHT RT260021 del 24 febbraio 2026</w:t>
      </w:r>
    </w:p>
    <w:p>
      <w:pPr>
        <w:pStyle w:val="Heading2"/>
      </w:pPr>
      <w:r>
        <w:t>Erwägungen</w:t>
      </w:r>
    </w:p>
    <w:p>
      <w:r>
        <w:rPr>
          <w:b/>
        </w:rPr>
        <w:t>E. 16</w:t>
      </w:r>
    </w:p>
    <w:p>
      <w:r>
        <w:t>Februar 2026) Beschwerde mit folgenden Anträgen (Urk. 1 S. 2): "1. Der Entscheid des Bezirksgerichts Dielsdorf vom 23.01.2026 sei aufzuheben. 2. Es sei festzustellen, dass das rechtliche Gehör verletzt wurde. 3. Das Verfahren sei zur vollständigen Sachverhaltsabklärung an die Vorinstanz zurückzuweisen. 4. Es sei festzustellen, das bis zur rechtskräftigen Klärung der Unterhaltsschuld keine weiteren Vollstreckungsmassnahmen zulässig sind. 5. Eventualiter sei die Vollstreckung bis zur rechtskräftigen Klärung sämtlicher Verfahren zu sistieren." 1.3. Da sich die Beschwerde – wie nachfolgend aufgezeigt wird – sogleich als of- fensichtlich unzulässig erweist, kann auf weitere Prozesshandlungen verzichtet werden (Art. 322 Abs. 1 ZPO). 1.4. Mit dem vorliegenden Endentscheid wird das Gesuch um Aufschub der Voll- streckbarkeit (Beschwerdeanträge Ziff. 4 und 5) gegenstandslos. 2. Das angefochtene Urteil ist in unbegründeter Form ergangen (vgl. Urk. 2). Ge- gen einen unbegründeten Entscheid kann kein Rechtsmittel erhoben werden. Viel- mehr ist zuerst eine Begründung zu verlangen. Erst danach kann gegen den in begründeter Ausfertigung ergangenen Entscheid das entsprechende Rechtsmittel erhoben werden (vgl. Art. 239 Abs. 2 ZPO). Dies hat die Vorinstanz auch korrekt belehrt (siehe Urk. 2 S. 3 Dispositivziffer 6). Auf die Beschwerde gegen das Urteil vom 23. Januar 2026 ist daher nicht einzutreten.</w:t>
      </w:r>
    </w:p>
    <w:p>
      <w:r>
        <w:t>- 3 - 3. Ausgangsgemäss wird der Gesuchsgegner für das Beschwerdeverfahren kostenpflichtig (Art. 106 Abs. 1 ZPO). Parteientschädigungen sind für das Be- schwerdeverfahren nicht zuzusprechen; dem Gesuchsgegner zufolge seines Un- terliegens, den Gesuchstellern mangels relevanter Umtriebe (vgl. Art. 95 Abs. 3 und Art. 106 Abs. 1 ZPO). 4. Das direkt gegen das unbegründete Urteil erhobene Rechtsmittel ist gestützt auf Art. 143 Abs. 1bis ZPO an die Vorinstanz zur Prüfung, ob ein Antrag auf schrift- liche Begründung – bzw. um Wiederherstellung der Frist zur Verlangung einer Be- gründung – vorliegt, weiterzuleiten (vgl. ZK-Staehelin, Art. 239 ZPO N 31, m.w.H.).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