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RT260009 vom 18. Februar 2026</w:t>
      </w:r>
    </w:p>
    <w:p>
      <w:r>
        <w:t>ZH Obergericht, 2026-02-18, DE</w:t>
      </w:r>
    </w:p>
    <w:p>
      <w:r>
        <w:rPr>
          <w:b/>
        </w:rPr>
        <w:t xml:space="preserve">Quelle: </w:t>
      </w:r>
      <w:r>
        <w:t>https://mcp.opencaselaw.ch/entscheid/zh_obergericht_RT260009</w:t>
      </w:r>
    </w:p>
    <w:p>
      <w:r>
        <w:t>FR: ZH_OBERGERICHT RT260009 du 18 février 2026</w:t>
      </w:r>
    </w:p>
    <w:p>
      <w:r>
        <w:t>IT: ZH_OBERGERICHT RT260009 del 18 febbraio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Mit Urteil vom 7. Januar 2026 erteilte die Vorinstanz dem Gesuchsteller und Beschwerdegegner (fortan Gesuchsteller) in der Betreibung Nr. ... des Betrei- bungsamts Zürich 11, Zahlungsbefehl vom 9. September 2025, definitive Rechts- öffnung für Fr. 435.– nebst Zins zu 5 % seit 7. Juli 2025, auferlegte der Gesuchs- gegnerin und Beschwerdeführerin (fortan Gesuchsgegnerin) die Entscheidgebühr von Fr. 75.– und wies den Antrag des Gesuchstellers auf Parteientschädigung ab (Urk. 8 Dispositiv-Ziffern 1-3 = Urk. 16 Dispositiv-Ziffern 1-3). b) Hiergegen erhob die Gesuchsgegnerin mit Eingabe vom 29. Ja- nuar 2026 (gleichentags zur Post gegeben, eingegangen am 30. Januar 2026; vgl. an Urk. 15 angehefteter Briefumschlag samt Sendungsverfolgung der Post) fristgerecht (vgl. Urk. 11: Zustellung am 19. Januar 2026) Beschwerde mit den fol- genden Anträgen (Urk. 15 S. 1): "1. Das angefochtene Urteil sei vollumfänglich aufzuheben.</w:t>
      </w:r>
    </w:p>
    <w:p>
      <w:r>
        <w:rPr>
          <w:b/>
        </w:rPr>
        <w:t>E. 2</w:t>
      </w:r>
    </w:p>
    <w:p>
      <w:r>
        <w:t>Die Sache sei zur Neubeurteilung an die Vorinstanz zurückzuweisen, unter Be- rücksichtigung meiner fristgerechten Stellungnahme vom 11. Dezember 2025. […]</w:t>
      </w:r>
    </w:p>
    <w:p>
      <w:r>
        <w:rPr>
          <w:b/>
        </w:rPr>
        <w:t>E. 4</w:t>
      </w:r>
    </w:p>
    <w:p>
      <w:r>
        <w:t>a) Die Prozesskosten werden der unterliegenden Partei auferlegt. Bei Nichteintreten gilt die klagende Partei bzw. die Partei, welche das Rechtsmittel er- hoben hat, als unterliegend (vgl. Art. 106 Abs. 1 ZPO), weshalb der Gesuchsgeg- nerin die Gerichtskosten des Beschwerdeverfahrens aufzuerlegen sind. Für das Beschwerdeverfahren beträgt der Streitwert Fr. 435.–. Die zweitinstanzliche Ent- scheidgebühr ist in Anwendung von Art. 48 i.V.m. Art. 61 Abs. 1 GebV SchKG auf Fr. 150.– festzusetzen. b) Für das Beschwerdeverfahren sind keine Parteientschädigungen zu- zusprechen, der Gesuchsgegnerin zufolge ihres Unterliegens, dem Gesuchsteller mangels relevanter Aufwendungen (Art. 106 Abs. 1, Art. 95 Abs. 3 ZPO).</w:t>
      </w:r>
    </w:p>
    <w:p>
      <w:r>
        <w:t>- 7 -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