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RT260004 vom 6. Februar 2026</w:t>
      </w:r>
    </w:p>
    <w:p>
      <w:r>
        <w:t>ZH Obergericht, 2026-02-06, DE</w:t>
      </w:r>
    </w:p>
    <w:p>
      <w:r>
        <w:rPr>
          <w:b/>
        </w:rPr>
        <w:t xml:space="preserve">Quelle: </w:t>
      </w:r>
      <w:r>
        <w:t>https://mcp.opencaselaw.ch/entscheid/zh_obergericht_RT260004</w:t>
      </w:r>
    </w:p>
    <w:p>
      <w:r>
        <w:t>FR: ZH_OBERGERICHT RT260004 du 6 février 2026</w:t>
      </w:r>
    </w:p>
    <w:p>
      <w:r>
        <w:t>IT: ZH_OBERGERICHT RT260004 del 6 febbraio 2026</w:t>
      </w:r>
    </w:p>
    <w:p>
      <w:pPr>
        <w:pStyle w:val="Heading2"/>
      </w:pPr>
      <w:r>
        <w:t>Erwägungen</w:t>
      </w:r>
    </w:p>
    <w:p>
      <w:r>
        <w:rPr>
          <w:b/>
        </w:rPr>
        <w:t>E. 5</w:t>
      </w:r>
    </w:p>
    <w:p>
      <w:r>
        <w:t>November 2025 im Wesentlichen Kritik an der Rechtmässigkeit der Strafbestim- mungen der Verordnung über Massnahmen in der besonderen Lage zur Bekämp- fung der Covid-19-Epidemie. Wie vorstehend ausgeführt, stünden der Schuldnerin im vorliegenden Rechtsöffnungsverfahren gemäss Art. 81 Abs. 1 SchKG einzig die Einwendungen der Tilgung, Stundung und Verjährung zu. Die Vorbringen der Ge- suchsgegnerin gingen indessen über die gemäss Art. 81 Abs. 1 SchKG zulässigen Einwendungen hinaus und seien daher nicht vom Prüfungsumfang des Rechtsöff- nungsgerichts umfasst. Insbesondere stehe es dem Rechtsöffnungsgericht als Vollstreckungsgericht nicht zu, rechtskräftige Urteile einer inhaltlichen Überprüfung zu unterziehen. Hierfür sei der Gesuchsgegnerin die Ergreifung eines form- und fristgerechten Rechtsmittels gegen den Entscheid des Obergerichts des Kantons Zürich offen gestanden. Die Vorbringen der Gesuchsgegnerin erwiesen sich somit im vorliegenden Rechtsöffnungsverfahren als unbehelflich. In vorgenanntem Um- fang sei der Gesuchstellerin daher die definitive Rechtsöffnung zu erteilen (Urk. 10 E. 2.3). In Bezug auf die Mahngebühr von Fr. 20.– wies die Vorinstanz das Rechtsöffnungs- gesuch mangels Titels ab. Ebenso erteilte sie für die Betreibungskosten von Fr. 54.– keine Rechtsöffnung (Urk. 10 E. 2.4 f.). 3.2. Die Gesuchsgegnerin macht mit ihrer Beschwerde geltend, die Forderung be- ruhe auf pandemiebedingten staatlichen Massnahmen. Die Massnahme sei zwin- gend einzuhalten gewesen. Ein pflichtwidriges Verhalten ihrerseits liege nicht vor. Ferner fehle ein privatrechtlicher Rechtsgrund. Die Gesuchstellerin versuche, aus der Einhaltung einer hoheitlichen Massnahme eine privatrechtliche Forderung ab- zuleiten. Ein solcher Anspruch sei nicht rechtsöffnungstauglich, da die Masken- pflicht öffentlich-rechtlicher Natur gewesen sei, Sanktionen ausschliesslich durch</w:t>
      </w:r>
    </w:p>
    <w:p>
      <w:r>
        <w:t>- 5 - die zuständigen Behörden hätten ausgesprochen werden dürfen und kein zivil- rechtlicher Vertrag oder eine Schuldanerkennung bestehe, aus der sich eine Zah- lungspflicht ergebe. Es fehle somit an einem klaren und durchsetzbaren Rechtsöff- nungstitel im Sinne von Art. 80 bzw. Art. 82 SchKG. Selbst wenn die Forderung behauptet werde, setze deren Durchsetzung eine materielle Prüfung voraus (Rechtmässigkeit, Verhältnismässigkeit der Massnahme, Kausalzusammenhang). Eine solche Prüfung sei im summarischen Rechtsöffnungsverfahren ausgeschlos- sen. Die behauptete Forderung sei daher nicht liquide und nicht rechtsöffnungs- tauglich (Urk. 9 S. 1 f.). 3.3. Gemäss Art. 38 Abs. 1 des Bundesgesetzes über Schuldbetreibung und Kon- kurs (SchKG) werden auf dem Wege der Schuldbetreibung die Zwangsvollstre- ckungen durchgeführt, welche auf eine Geldzahlung oder eine Sicherheitsleistung gerichtet sind. Dabei ist unerheblich, ob die Ansprüche aus privatem oder öffentli- chem Recht entstanden sind (BSK SchKG-Acocella, Art. 38 N 4). Art. 442 Abs. 1 StPO hält sodann ausdrücklich fest, dass Verfahrenskosten, Geldstrafen, Bussen und weitere im Zusammenhang mit einem Strafverfahren zu erbringende finanzielle Leistungen nach den Bestimmungen des SchKG eingetrieben werden. Entgegen der Ansicht der Gesuchsgegnerin ist die Forderung der Gesuchstellerin somit rechtsöffnungstauglich. Mit den weiteren – zutreffenden – Erwägungen der Vor- instanz, weshalb mit dem Entscheid der II. Strafkammer des Obergerichts des Kan- tons Zürich vom 22. November 2024 ein definitiver Rechtsöffnungstitel vorliege (Urk. 10 E. 2.1 f.), setzt sich die Gesuchsgegnerin in ihrer Beschwerdeschrift nicht auseinander. Sie genügt damit den oben (E. 2) aufgezeigten Rüge- und Begrün- dungsanforderungen nicht. Soweit die Gesuchsgegnerin ferner geltend macht, es liege kein pflichtwidriges Ver- halten ihrerseits vor, bestreitet sie damit die Rechtmässigkeit der in Betreibung ge- setzten Forderung. Wie die Vorinstanz diesbezüglich zutreffend festhielt (Urk. 10 E. 2.3), ist sie damit im Rechtsöffnungsverfahren jedoch nicht zu hören, denn in diesem wird einzig geprüft, ob die Voraussetzungen für eine (vorliegend) definitive Rechtsöffnung erfüllt sind, d.h. ob ein entsprechender gültiger Rechtsöffnungstitel vorliegt und keine Einwendungen nach Art. 81 SchKG seitens des Schuldners ge-</w:t>
      </w:r>
    </w:p>
    <w:p>
      <w:r>
        <w:t>- 6 - geben sind, wonach die Forderung erlassen, getilgt, gestundet oder verjährt ist. Über den materiellen Bestand der Forderung bzw. über die materielle Richtigkeit des Entscheids ist hingegen nicht zu befinden (BGer 5A_218/2019 vom 11. März 2020 E. 2.1, m.w.H). Nach dem Gesagten erweist sich die Beschwerde der Gesuchsgegnerin als offen- sichtlich unbegründet, weshalb sie abzuweisen ist, soweit auf sie einzutreten ist.</w:t>
      </w:r>
    </w:p>
    <w:p>
      <w:r>
        <w:rPr>
          <w:b/>
        </w:rPr>
        <w:t>E. 7</w:t>
      </w:r>
    </w:p>
    <w:p>
      <w:r>
        <w:t>Die Entscheidgebühr für das Beschwerdeverfahren ist in Anwendung von Art. 48 in Verbindung mit Art. 61 Abs. 1 GebV SchKG und ausgehend von einem Streitwert von Fr. 600.– auf Fr. 150.– festzusetzen. Die Gerichtskosten sind aus- gangsgemäss der Gesuchsgegnerin aufzuerlegen (Art. 106 Abs. 1 ZPO). Parteien- tschädigungen sind im Beschwerdeverfahren keine zuzusprechen, der Gesuchs- gegnerin infolge ihres Unterliegens, der Gesuchstellerin mangels relevanter Um- 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