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RT260001 vom 6. Februar 2026</w:t>
      </w:r>
    </w:p>
    <w:p>
      <w:r>
        <w:t>ZH Obergericht, 2026-02-06, DE</w:t>
      </w:r>
    </w:p>
    <w:p>
      <w:r>
        <w:rPr>
          <w:b/>
        </w:rPr>
        <w:t xml:space="preserve">Quelle: </w:t>
      </w:r>
      <w:r>
        <w:t>https://mcp.opencaselaw.ch/entscheid/zh_obergericht_RT260001</w:t>
      </w:r>
    </w:p>
    <w:p>
      <w:r>
        <w:t>FR: ZH_OBERGERICHT RT260001 du 6 février 2026</w:t>
      </w:r>
    </w:p>
    <w:p>
      <w:r>
        <w:t>IT: ZH_OBERGERICHT RT260001 del 6 febbraio 2026</w:t>
      </w:r>
    </w:p>
    <w:p>
      <w:pPr>
        <w:pStyle w:val="Heading2"/>
      </w:pPr>
      <w:r>
        <w:t>Erwägungen</w:t>
      </w:r>
    </w:p>
    <w:p>
      <w:r>
        <w:rPr>
          <w:b/>
        </w:rPr>
        <w:t>E. 2</w:t>
      </w:r>
    </w:p>
    <w:p>
      <w:r>
        <w:t>Das Gericht eröffnet seinen Entscheid in der Regel ohne schriftliche Begrün- dung. Eine schriftliche Begründung ist nachzuliefern, wenn eine Partei dies innert zehn Tagen seit der Eröffnung des Entscheids verlangt. Wird keine Begründung verlangt, so gilt dies als Verzicht auf die Anfechtung des Entscheids mit Berufung oder Beschwerde (Art. 239 Abs. 1 und 2 ZPO; vgl. dazu die korrekte Rechtsmittel- belehrung im angefochtenen Urteil, Urk. 14 S. 2 Dispositivziffer 4). Eingaben müs- sen spätestens am letzten Tag der Frist beim Gericht eingereicht oder zu dessen Handen der Schweizerischen Post übergeben werden (Art. 143 Abs. 1 ZPO). Die gesetzlichen Fristenstillstände gelten im summarischen Verfahren nicht (Art. 145 Abs. 2 lit. b ZPO; vgl. dazu wiederum die korrekte Rechtsmittelbelehrung im ange- fochtenen Urteil, Urk. 14 S. 2 Dispositivziffer 4). Hingegen sind im Rechtsöffnungs- verfahren die vom 18. Dezember 2025 bis 1. Januar 2026 dauernden Betreibungs- ferien gemäss Art. 56 Ziff. 2 SchKG beachtlich; während dieser Zeit dürfen gemäss Art. 56 Abs. 3 SchKG keine Betreibungshandlungen vorgenommen werden. Das Urteil der Vorinstanz wurde dem Gesuchsgegner am 18. Dezember 2025 zugestellt (Urk. 11/2). Dass die Zustellung des unbegründeten Rechtsöffnungsurteils am ers- ten Tag der Betreibungsferien vorgenommen wurde, hat die aufgeschobene Rechtswirksamkeit zur Folge: Es wird fingiert, dass die Zustellung am ersten Tag</w:t>
      </w:r>
    </w:p>
    <w:p>
      <w:r>
        <w:t>- 3 - nach Ablauf der Betreibungsferien erfolgte (BGer 4A_635/2023 E. 5.1. - 5.5.; BGE 132 II 153 E. 3.3 m.w.H.; OGer ZH PS170084 vom 09.06.2017 E. 2.5.; BSK SchKG I-Schmid/Bauer, Art. 56 N 54). Dies war allerdings der 2. Januar 2026, der im Kan- ton Zürich als Feiertag gilt (§ 122 GOG), weshalb gemäss Art. 56 Ziff. 1 SchKG an diesem Tag keine Zustellung erfolgen durfte; hinsichtlich der Feiertage ist das kan- tonale Recht jenes Ortes massgebend, an dem die Betreibungshandlung vorge- nommen wird (BSK SchKG I-Schmid/Bauer, Art. 56 N 9; OGer ZH PS170084 vom 09.06.2017 E. 2.5.). Demnach ist die Zustellung auf den nachfolgenden Tag, den</w:t>
      </w:r>
    </w:p>
    <w:p>
      <w:r>
        <w:rPr>
          <w:b/>
        </w:rPr>
        <w:t>E. 3</w:t>
      </w:r>
    </w:p>
    <w:p>
      <w:r>
        <w:t>Die schriftliche Begründung des Rechtsöffnungsurteils ist Voraussetzung für dessen Anfechtung; erst mit der nachträglichen Zustellung des begründeten Ent- scheids wird die Beschwerdefrist ausgelöst (Art. 321 Abs. 1 ZPO; BSK ZPO- Schmid/Brunner, Art. 239 N 21). Vor diesem Hintergrund ist auf die vorzeitig erho- bene Beschwerde nicht einzutreten.</w:t>
      </w:r>
    </w:p>
    <w:p>
      <w:r>
        <w:rPr>
          <w:b/>
        </w:rPr>
        <w:t>E. 4</w:t>
      </w:r>
    </w:p>
    <w:p>
      <w:r>
        <w:t>Für das Beschwerdeverfahren beträgt der Streitwert Fr. 5'631.55. Die zweit- instanzliche Entscheidgebühr ist in Anwendung von Art. 48 i.V.m. Art. 61 Abs. 1 GebV SchKG auf Fr. 150.– festzusetzen und ausgangsgemäss dem Gesuchsgeg- ner aufzuerlegen (Art. 106 Abs. 1 ZPO). Parteientschädigungen sind keine zuzu- sprechen, dem Gesuchsgegner zufolge seines Unterliegens und der Gesuchstel- lerin mangels relevanter Aufwendungen (Art. 106 Abs. 1, Art. 95 Abs. 3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