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RT250263 vom 8. Januar 2026</w:t>
      </w:r>
    </w:p>
    <w:p>
      <w:r>
        <w:t>ZH Obergericht, 2026-01-08, DE</w:t>
      </w:r>
    </w:p>
    <w:p>
      <w:r>
        <w:rPr>
          <w:b/>
        </w:rPr>
        <w:t xml:space="preserve">Quelle: </w:t>
      </w:r>
      <w:r>
        <w:t>https://mcp.opencaselaw.ch/entscheid/zh_obergericht_RT250263</w:t>
      </w:r>
    </w:p>
    <w:p>
      <w:r>
        <w:t>FR: ZH_OBERGERICHT RT250263 du 8 janvier 2026</w:t>
      </w:r>
    </w:p>
    <w:p>
      <w:r>
        <w:t>IT: ZH_OBERGERICHT RT250263 del 8 gennaio 2026</w:t>
      </w:r>
    </w:p>
    <w:p>
      <w:pPr>
        <w:pStyle w:val="Heading2"/>
      </w:pPr>
      <w:r>
        <w:t>Erwägungen</w:t>
      </w:r>
    </w:p>
    <w:p>
      <w:r>
        <w:rPr>
          <w:b/>
        </w:rPr>
        <w:t>E. 2</w:t>
      </w:r>
    </w:p>
    <w:p>
      <w:r>
        <w:t>S. 2). 1.2. Mit Eingabe vom 24. November 2025 (Datum des Poststempels) erhob der Gesuchsgegner gegen den vorinstanzlichen Entscheid Beschwerde. Zudem er- klärte er, Anzeige nach Art. 312 StGB wegen Amtsmissbrauchs zu machen. Ferner ersuchte er um Gewährung der unentgeltlichen Rechtspflege (Urk. 1). 1.3. Mit Schreiben vom 25. November 2025 wurde die Beiständin des Gesuchs- gegners darum gebeten, mitzuteilen, ob die angeordnete Beistandschaft die Hand- lungsfähigkeit des Gesuchsgegners einschränke und falls ja, ob sie die Be- schwerde genehmige (Urk. 4). Mit Telefonat vom 18. Dezember 2025 teilte die Bei- ständin mit, dass die Handlungsfähigkeit des Gesuchsgegners nicht eingeschränkt sei (Urk. 4). 1.4. Da sich die Beschwerde – wie nachfolgend aufgezeigt wird – sogleich als of- fensichtlich unzulässig erweist, erübrigen sich prozessuale Weiterungen (Art. 322 Abs. 1 ZPO).</w:t>
      </w:r>
    </w:p>
    <w:p>
      <w:r>
        <w:rPr>
          <w:b/>
        </w:rPr>
        <w:t>E. 2.1</w:t>
      </w:r>
    </w:p>
    <w:p>
      <w:r>
        <w:t>Auf die vom Gesuchsgegner gemachte Strafanzeige wegen Amtsmiss- brauchs ist mangels Zuständigkeit des Zivilgerichts nicht einzutreten.</w:t>
      </w:r>
    </w:p>
    <w:p>
      <w:r>
        <w:rPr>
          <w:b/>
        </w:rPr>
        <w:t>E. 2.2</w:t>
      </w:r>
    </w:p>
    <w:p>
      <w:r>
        <w:t>Das angefochtene Urteil ist in unbegründeter Form ergangen (vgl. Urk. 2). Ge- gen einen unbegründeten Entscheid kann kein Rechtsmittel erhoben werden. Viel- mehr ist zuerst eine Begründung zu verlangen. Erst danach kann gegen den in begründeter Ausfertigung ergangenen Entscheid das entsprechende Rechtsmittel erhoben werden (vgl. Art. 239 Abs. 2 ZPO; vgl. auch Urk. 2 S. 2 f.). Auf die Be-</w:t>
      </w:r>
    </w:p>
    <w:p>
      <w:r>
        <w:t>- 3 - schwerde gegen den Entscheid der Vorinstanz vom 7. November 2025 ist daher nicht einzutreten. 3.1. Umständehalber ist auf die Erhebung von Kosten für das vorliegende Be- schwerdeverfahren zu verzichten. Parteientschädigungen sind im Beschwerdever- fahren keine zuzusprechen, dem Gesuchsgegner infolge seines Unterliegens, dem Gesuchsteller mangels relevanter Umtriebe (vgl. Art. 95 Abs. 3 und Art. 106 Abs. 1 ZPO). 3.2. Da der unvertretene Gesuchsgegner im Beschwerdeverfahren keine Kosten zu tragen hat, ist sein Gesuch um unentgeltliche Rechtspflege (Urk. 1) für das zwei- tinstanzliche Verfahren als gegenstandslos geworden abzuschreiben.</w:t>
      </w:r>
    </w:p>
    <w:p>
      <w:r>
        <w:rPr>
          <w:b/>
        </w:rPr>
        <w:t>E. 4</w:t>
      </w:r>
    </w:p>
    <w:p>
      <w:r>
        <w:t>Das direkt gegen das unbegründete Urteil erhobene Rechtsmittel ist gestützt auf Art. 143 Abs. 1bis ZPO an die Vorinstanz zur Prüfung, ob ein Antrag auf schrift- liche Begründung vorliegt, weiterzuleiten (vgl. ZK-Staehelin, Art. 239 ZPO N 31, m.w.H.).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