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RT250262 vom 8. Januar 2026</w:t>
      </w:r>
    </w:p>
    <w:p>
      <w:r>
        <w:t>ZH Obergericht, 2026-01-08, DE</w:t>
      </w:r>
    </w:p>
    <w:p>
      <w:r>
        <w:rPr>
          <w:b/>
        </w:rPr>
        <w:t xml:space="preserve">Quelle: </w:t>
      </w:r>
      <w:r>
        <w:t>https://mcp.opencaselaw.ch/entscheid/zh_obergericht_RT250262</w:t>
      </w:r>
    </w:p>
    <w:p>
      <w:r>
        <w:t>FR: ZH_OBERGERICHT RT250262 du 8 janvier 2026</w:t>
      </w:r>
    </w:p>
    <w:p>
      <w:r>
        <w:t>IT: ZH_OBERGERICHT RT250262 del 8 gennaio 2026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Entscheidgebühr für das Beschwerdeverfahren ist in Anwendung von Art. 48 in Verbindung mit Art. 61 Abs. 1 GebV SchKG und ausgehend von einem</w:t>
      </w:r>
    </w:p>
    <w:p>
      <w:r>
        <w:t>- 4 - Streitwert von Fr. 984.75 auf Fr. 150.– festzusetzen. Die Gerichtskosten sind aus- gangsgemäss der Gesuchstellerin aufzuerlegen (Art. 106 Abs. 1 ZPO). Parteient- schädigungen sind im Beschwerdeverfahren keine zuzusprechen, der Gesuchstel- lerin infolge ihres Unterliegens, der Gesuchsgegnerin mangels relevanter Umtriebe (vgl. Art. 95 Abs. 3 und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