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RT250255 vom 6. Januar 2026</w:t>
      </w:r>
    </w:p>
    <w:p>
      <w:r>
        <w:t>ZH Obergericht, 2026-01-06, DE</w:t>
      </w:r>
    </w:p>
    <w:p>
      <w:r>
        <w:rPr>
          <w:b/>
        </w:rPr>
        <w:t xml:space="preserve">Quelle: </w:t>
      </w:r>
      <w:r>
        <w:t>https://mcp.opencaselaw.ch/entscheid/zh_obergericht_RT250255</w:t>
      </w:r>
    </w:p>
    <w:p>
      <w:r>
        <w:t>FR: ZH_OBERGERICHT RT250255 du 6 janvier 2026</w:t>
      </w:r>
    </w:p>
    <w:p>
      <w:r>
        <w:t>IT: ZH_OBERGERICHT RT250255 del 6 gennaio 2026</w:t>
      </w:r>
    </w:p>
    <w:p>
      <w:pPr>
        <w:pStyle w:val="Heading2"/>
      </w:pPr>
      <w:r>
        <w:t>Erwägungen</w:t>
      </w:r>
    </w:p>
    <w:p>
      <w:r>
        <w:rPr>
          <w:b/>
        </w:rPr>
        <w:t>E. 15</w:t>
      </w:r>
    </w:p>
    <w:p>
      <w:r>
        <w:t>Dezember 2025 der Post übergebenen Eingabe Beschwerde (Urk. 1) 1.2. Da sich die Beschwerde sogleich als offensichtlich unzulässig erweist, erübri- gen sich weitere Prozesshandlungen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Ein solcher Nachteil ist ohne Weiteres anzunehmen, wenn er auch durch einen für den Ansprecher güns- tigen Endentscheid nicht mehr beseitigt werden kann. Indes ist bei der Annahme eines drohenden, nicht leicht wiedergutzumachenden Nachteils grundsätzlich Zu- rückhaltung angebracht. Der Gesetzgeber hat die selbstständige Anfechtung ge- wöhnlicher prozessleitender Entscheide absichtlich erschwert, denn der Gang des Prozesses sollte nicht unnötig verzögert werden (Botschaft ZPO, BBl 2006, 7221 ff., 7377). In der Literatur wird unter Verweis auf die Botschaft die Auffassung vertreten, dass bei Vorladungen (Art. 133/134 ZPO), Terminverschiebungen (Art. 135 ZPO), Fristansetzungen und -erstreckungen (Art. 144 ZPO) oder Beweis- anordnungen (Art. 231 ZPO) ein nicht leicht wiedergutzumachender Nachteil kaum je in Betracht fallen könne (BK ZPO-Sterchi, Art. 319 N 14; DIKE-Komm ZPO-Bli- ckenstorfer, Art. 319 N 42). Die entsprechenden prozessleitenden Entscheide kön- nen somit erst im Rahmen des Hauptrechtsmittels gegen den Endentscheid bean- standet werden. Die betroffene Partei muss einen nicht leicht wiedergutzumachen- den Nachteil dartun, d.h. sie ist beweispflichtig, sofern die Gefahr nicht von vorn- herein offenkundig ist (BK ZPO-Sterchi, Art. 319 N 15). Fehlt die Rechtsmittelvor-</w:t>
      </w:r>
    </w:p>
    <w:p>
      <w:r>
        <w:t>- 3 - aussetzung des drohenden, nicht leicht wiedergutzumachenden Nachteils, so ist auf die Beschwerde nicht einzutreten. 2.2. Der Gesuchsgegner unterlässt es, in seiner Beschwerde auszuführen, inwie- fern ihm durch die angefochtene Verfügung ein nicht leicht wiedergutzumachender Nachteil droht. Ein solcher ist auch nicht offenkundig, so wurde ihm mit dieser Ver- fügung Frist angesetzt, um zum Rechtsöffnungsbegehren des Gesuchstellers Stel- lung zu nehmen (Urk. 2 Dispositivziffer 1). Der Gesuchsgegner beschränkt sich darauf, Ausführungen dazu zu machen, weshalb keine Rechtsöffnung erteilt wer- den dürfe (Urk. 1). Solches kann aber im Beschwerdeverfahren erst gegen einen die Rechtsöffnung erteilenden Endentscheid vorgebracht werden. Die Beschwerde ist im jetzigen Zeitpunkt verfrüht, weshalb auf diese nicht einzutreten ist. 3. Die Entscheidgebühr für das Beschwerdeverfahren ist in Anwendung von Art. 48 in Verbindung mit Art. 61 Abs. 1 GebV SchKG auf Fr. 150.– festzusetzen. Die Gerichtskosten sind ausgangsgemäss dem Gesuchsgegner aufzuerlegen (Art. 106 Abs. 1 ZPO). Parteientschädigungen sind im Beschwerdeverfahren keine zuzusprechen, dem Gesuchsgegner infolge seines Unterliegens, dem Gesuchstel- ler mangels relevanter Umtriebe (vgl.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