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RT250252 vom 19. Januar 2026</w:t>
      </w:r>
    </w:p>
    <w:p>
      <w:r>
        <w:t>ZH Obergericht, 2026-01-19, DE</w:t>
      </w:r>
    </w:p>
    <w:p>
      <w:r>
        <w:rPr>
          <w:b/>
        </w:rPr>
        <w:t xml:space="preserve">Quelle: </w:t>
      </w:r>
      <w:r>
        <w:t>https://mcp.opencaselaw.ch/entscheid/zh_obergericht_RT250252</w:t>
      </w:r>
    </w:p>
    <w:p>
      <w:r>
        <w:t>FR: ZH_OBERGERICHT RT250252 du 19 janvier 2026</w:t>
      </w:r>
    </w:p>
    <w:p>
      <w:r>
        <w:t>IT: ZH_OBERGERICHT RT250252 del 19 gennaio 2026</w:t>
      </w:r>
    </w:p>
    <w:p>
      <w:pPr>
        <w:pStyle w:val="Heading2"/>
      </w:pPr>
      <w:r>
        <w:t>Erwägungen</w:t>
      </w:r>
    </w:p>
    <w:p>
      <w:r>
        <w:rPr>
          <w:b/>
        </w:rPr>
        <w:t>E. 2</w:t>
      </w:r>
    </w:p>
    <w:p>
      <w:r>
        <w:t>Die Beschwerdefrist beträgt für ein im summarischen Verfahren ergangener Entscheid zehn Tage (Art. 321 Abs. 2 ZPO; vgl. dazu die korrekte Rechtsmittelbe- lehrung im angefochtenen Urteil, Urk. 18 S. 7 Dispositivziffer 5). Eingaben müssen spätestens am letzten Tag der Frist beim Gericht eingereicht oder zu dessen Han- den der Schweizerischen Post übergeben werden (Art. 143 Abs. 1 ZPO). Das Urteil der Vorinstanz vom 19. November 2025 wurde am Freitag, 21. November 2025, zur Abholung gemeldet mit einer Abholfrist bis am 28. November 2025 (vgl. Urk. 15). Die Gesuchsgegnerin holte die Sendung jedoch innert Frist nicht ab, so- dass ihr das Urteil am 1. Dezember 2025 mit A-Post Plus erneut zugestellt wurde, mit dem Hinweis, die Zweitzusendung diene einzig ihrer Kenntnisnahme und habe keinen Einfluss auf den Beginn des Fristenlaufs. Die Frist habe – da sie Kenntnis vom Verfahren gehabt habe – aufgrund der Zustellfiktion am 28. November 2025 zu laufen begonnen (Urk 16). Die Beschwerdefrist von zehn Tagen endete damit am 8. Dezember 2025 (Art. 321 Abs. 2 ZPO, Art. 142 ZPO). Die am 10. Dezember 2025 zur Post gegebene Beschwerde der Gesuchsgegnerin ist folglich verspätet eingereicht worden. Auf die Beschwerde ist demnach nicht einzutreten. Der Vollständigkeit halber ist anzumerken, dass der Beschwerde ohnehin kein Er- folg beschieden gewesen wäre. Die Gesuchsgegnerin macht geltend, sie habe nie ein Hotelzimmer gebucht und keine Reservation für den besagten Zeitraum bestä-</w:t>
      </w:r>
    </w:p>
    <w:p>
      <w:r>
        <w:t>- 3 - tigt. Auch die Online-Veranstaltung habe nie stattgefunden (Urk. 17). Mit ihren Aus- führungen setzt sich die Gesuchsgegnerin einerseits in keiner Weise mit den vor- instanzlichen Erwägungen auseinander, und andererseits zielen ihre Rügen auf den Bestand der Forderung ab. Im (definitiven) Rechtsöffnungsverfahren wird je- doch einzig darüber entschieden, ob die durch den Rechtsvorschlag gehemmte Be- treibung weitergeführt werden darf oder nicht. Die sachliche Richtigkeit der der Rechtsöffnung zugrundeliegenden gerichtlichen Entscheide kann jedoch im Rechtsöffnungsverfahren nicht überprüft werden (BGer 5A_218/ 2019 vom 11. März 2020 E. 2.1 m.w.H.; BGE 142 III 78 E. 3.1 m.w.H.). Somit wäre es dem Rechtsöffnungsgericht ohnehin verwehrt gewesen, den Bestand der Forderung zu überprüfen. Wenn die Gesuchsgegnerin mit dem Vollstreckungsentscheid vom 27. Oktober 2022 (Urk. 3/1a) nicht einverstanden war, hätte sie dagegen ein Rechtsmittel ergreifen müssen. Dies tat sie offensichtlich nicht (vgl. Urk. 3/1a S. 6). Die Beschwerde wäre folglich auch abzuweisen, würde auf sie eingetreten.</w:t>
      </w:r>
    </w:p>
    <w:p>
      <w:r>
        <w:rPr>
          <w:b/>
        </w:rPr>
        <w:t>E. 3</w:t>
      </w:r>
    </w:p>
    <w:p>
      <w:r>
        <w:t>Für das Beschwerdeverfahren beträgt der Streitwert Fr. 995.67. Die zweit- instanzliche Entscheidgebühr ist in Anwendung von Art. 48 i.V.m. Art. 61 Abs. 1 GebV SchKG auf Fr. 225.– festzusetzen und ausgangsgemäss der Gesuchsgeg- nerin aufzuerlegen (Art. 106 Abs. 1 ZPO). Parteientschädigungen sind keine zuzu- sprechen, der Gesuchsgegnerin zufolge ihres Unterliegens und dem Gesuchsteller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