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RT250250 vom 16. Dezember 2025</w:t>
      </w:r>
    </w:p>
    <w:p>
      <w:r>
        <w:t>ZH Obergericht, 2025-12-16, DE</w:t>
      </w:r>
    </w:p>
    <w:p>
      <w:r>
        <w:rPr>
          <w:b/>
        </w:rPr>
        <w:t xml:space="preserve">Quelle: </w:t>
      </w:r>
      <w:r>
        <w:t>https://mcp.opencaselaw.ch/entscheid/zh_obergericht_RT250250</w:t>
      </w:r>
    </w:p>
    <w:p>
      <w:r>
        <w:t>FR: ZH_OBERGERICHT RT250250 du 16 décembre 2025</w:t>
      </w:r>
    </w:p>
    <w:p>
      <w:r>
        <w:t>IT: ZH_OBERGERICHT RT250250 del 16 dicembre 2025</w:t>
      </w:r>
    </w:p>
    <w:p>
      <w:pPr>
        <w:pStyle w:val="Heading2"/>
      </w:pPr>
      <w:r>
        <w:t>Erwägungen</w:t>
      </w:r>
    </w:p>
    <w:p>
      <w:r>
        <w:rPr>
          <w:b/>
        </w:rPr>
        <w:t>E. 20</w:t>
      </w:r>
    </w:p>
    <w:p>
      <w:r>
        <w:t>April 2015 E. 4.5.1). 3. Die Vorinstanz erwog, die Leistungsrückerstattungsverfügung sei gemäss Art. 54 Abs. 1 ATSG vollstreckbar und stelle damit einen definitiven Rechtsöff- nungstitel im Sinne von Art. 80 Abs. 2 Ziff. 2 SchKG dar. In seiner Eingabe vom 6. November 2025 bestreite der Gesuchsgegner, eine Taggeldentschädigung von der Gesuchstellerin erhalten zu haben, weshalb er sich nicht gezwungen sehe, die Entschädigung an die Gesuchstellerin zurückzuzahlen. Damit rüge er im Wesentli- chen die inhaltliche Richtigkeit der Leistungsrückerstattungsverfügung. Diesbezüg- lich sei er darauf hinzuweisen, dass er solche Rügen mit dem in der Verfügung vorgesehenen Rechtsmittel der Einsprache bei der SUVA, Rechtsabteilung, Be- reich Einsprachen und Prozesse, hätte geltend machen müssen. Der Rechtsöff- nungsrichterin sei es hingegen verwehrt, einen rechtskräftigen Entscheid erneut auf dessen inhaltliche Richtigkeit hin zu überprüfen. Weitere Gründe, welche der Ertei- lung der Rechtsöffnung entgegenstünden, habe der Gesuchsgegner nicht vorge- bracht, und solche ergäben sich auch nicht aus den Akten. Betragsmässig sei die Forderung durch die eingereichten Unterlagen ausgewiesen. Es sei der Gesuch- stellerin daher antragsgemäss die definitive Rechtsöffnung zu erteilen (Urk. 11 S. 2 f.). 4. Die Beschwerdeschrift des Gesuchsgegners genügt den obgenannten Anfor- derungen nicht. Er führt einzig aus, er sei mit der Entscheidung nicht einverstanden,</w:t>
      </w:r>
    </w:p>
    <w:p>
      <w:r>
        <w:t>- 4 - und legt den Lohnausweis 2024 ins Recht. Entsprechend setzt er sich in keiner Weise mit den vorinstanzlichen Erwägungen auseinander (vgl. E. 2.1). Beim einge- reichten Lohnausweis 2024 handelt es sich zudem um ein Novum, welches im Be- schwerdeverfahren nicht mehr berücksichtigt werden kann (vgl. E. 2.2). Diesen hätte er bereits vor Vorinstanz einreichen müssen. Demzufolge ist auf die Be- schwerde nicht einzutreten. 4. Für das Beschwerdeverfahren beträgt der Streitwert Fr. 12'668.80. Die zwei- tinstanzliche Entscheidgebühr ist in Anwendung von Art. 48 i.V.m. Art. 61 Abs. 1 GebV SchKG auf Fr. 300.– festzusetzen und ausgangsgemäss dem Gesuchsgeg- ner aufzuerlegen (Art. 106 Abs. 1 ZPO). Parteientschädigungen sind keine zuzu- sprechen, dem Gesuchsgegner zufolge seines Unterliegens und der Gesuchstel- lerin mangels relevanter Umtriebe (Art. 106 Abs. 1 ZPO,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