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RT250226 vom 9. Dezember 2025</w:t>
      </w:r>
    </w:p>
    <w:p>
      <w:r>
        <w:t>ZH Obergericht, 2025-12-09, DE</w:t>
      </w:r>
    </w:p>
    <w:p>
      <w:r>
        <w:rPr>
          <w:b/>
        </w:rPr>
        <w:t xml:space="preserve">Quelle: </w:t>
      </w:r>
      <w:r>
        <w:t>https://mcp.opencaselaw.ch/entscheid/zh_obergericht_RT250226</w:t>
      </w:r>
    </w:p>
    <w:p>
      <w:r>
        <w:t>FR: ZH_OBERGERICHT RT250226 du 9 décembre 2025</w:t>
      </w:r>
    </w:p>
    <w:p>
      <w:r>
        <w:t>IT: ZH_OBERGERICHT RT250226 del 9 dicembre 2025</w:t>
      </w:r>
    </w:p>
    <w:p>
      <w:pPr>
        <w:pStyle w:val="Heading2"/>
      </w:pPr>
      <w:r>
        <w:t>Erwägungen</w:t>
      </w:r>
    </w:p>
    <w:p>
      <w:r>
        <w:rPr>
          <w:b/>
        </w:rPr>
        <w:t>E. 15</w:t>
      </w:r>
    </w:p>
    <w:p>
      <w:r>
        <w:t>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2.2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w:t>
      </w:r>
    </w:p>
    <w:p>
      <w:r>
        <w:t>- 3 - immerhin BGE 139 III 466 E. 3.4; BGE 145 III 422 E. 5.2; BGer 4A_51/2015 vom</w:t>
      </w:r>
    </w:p>
    <w:p>
      <w:r>
        <w:rPr>
          <w:b/>
        </w:rPr>
        <w:t>E. 20</w:t>
      </w:r>
    </w:p>
    <w:p>
      <w:r>
        <w:t>April 2015 E. 4.5.1). 3. Die Vorinstanz erwog, die eingereichte Veranlagungsverfügung sei vollstreck- bar und stelle in Verbindung mit der vollstreckbaren Steuerrechnung gemäss Art. 165 Abs. 3 DBG einen definitiven Rechtsöffnungstitel im Sinne von Art. 80 Abs. 2 Ziff. 2 SchKG dar. Betragsmässig sei die Steuerforderung samt aufgelaufe- nem und laufendem Zins durch die eingereichten Unterlagen ausgewiesen. Gründe, die der Erteilung der Rechtsöffnung entgegenstünden, gingen aus den Ak- ten nicht hervor, sodass dem Gesuchsteller antragsgemäss die definitive Rechts- öffnung zu erteilen sei (Urk. 9 S. 3). 4. Gemäss Art. 81 Abs. 1 SchKG spricht das Gericht die definitive Rechtsöff- nung aus, sofern der Betriebene nicht durch Urkunden beweist, dass die Schuld seit Erlass des Entscheids getilgt oder gestundet, oder die Verjährung angerufen worden ist. Der Gesuchsgegner führt aus, das Steueramt habe ihm die Steuerfor- derung gestundet bis die unterschlagenen Gelder des Sozialamtes B._____ be- zahlt seien. Da er nach zwei Schleudertraumas und einem Schädelhirntrauma 100% invalid sei und seither mit monatlich Fr. 1'800.– bis Fr. 2'000.– leben müsse, sei es nicht gestattet, ihn zu betreiben und schon gar nicht zu pfänden. Es müsse dafür gesorgt werden, dass Herr C._____ vom Sozialamt B._____ die enormen Schulden bei ihm begleiche. Daraufhin könne die Stundung der Steuern aufgeho- ben werden (Urk. 8). Diese Behauptungen sind nicht zu berücksichtigen, weil der Gesuchsgegner sie nicht bereits vor Vorinstanz vorbrachte (vgl. E. 2.2 sowie Urk. 9 S. 2). Ferner hat der Schuldner seine Einwendungen durch Urkunden zu beweisen (Art. 81 Abs. 1 SchKG). Der Gesuchsgegner legt zwar Unterlagen ins Recht, eine Stundungsvereinbarung findet sich dabei jedoch nicht. Weiter betrifft sein Einwand auch seine behauptete Zahlungsunfähigkeit. Im Rechtsöffnungsverfahren darf je- doch nicht geprüft werden, ob und inwieweit ein Schuldner die betriebene Forde- rung überhaupt bezahlen kann, sondern nur, ob die in Frage stehende Schuld be- steht. Eine allfällige Zahlungsunfähigkeit des Gesuchstellers wird erst im Rahmen des Pfändungsvollzugs vom Betreibungsamt zu prüfen sein (Art. 92 und Art. 93 SchKG). Die Beschwerde ist daher abzuweisen.</w:t>
      </w:r>
    </w:p>
    <w:p>
      <w:r>
        <w:t>- 4 - 5.1 Für das Beschwerdeverfahren beträgt der Streitwert Fr. 63.90. Die zweitin- stanzliche Entscheidgebühr ist in Anwendung von Art. 48 i.V.m. Art. 61 Abs. 1 GebV SchKG auf Fr. 100.– festzusetzen und ausgangsgemäss dem Gesuchsgeg- ner aufzuerlegen (Art. 106 Abs. 1 ZPO). Parteientschädigungen sind keine zuzu- sprechen, dem Gesuchsgegner zufolge seines Unterliegens und dem Gesuchstel- ler mangels relevanter Umtriebe (Art. 106 Abs. 1, Art. 95 Abs. 3 ZPO). 5.2 Eine Partei hat Anspruch auf unentgeltliche Rechtspflege, wenn sie (kumula- tiv) nicht über die erforderlichen Mittel verfügt und ihr Rechtsbegehren nicht aus- sichtslos erscheint (Art. 117 ZPO). Ob die Behauptung des Gesuchsgegners, dass er mit monatlich Fr. 1'800.– bis Fr. 2'000.– leben müsse (Urk. 8), ein Gesuch um unentgeltliche Rechtspflege darstellen soll, kann offenbleiben. Die Beschwerde war, wie oben aufgezeigt, von vornherein aussichtslos, weshalb dem Gesuchsgeg- ner die unentgeltliche Prozessführung für das Beschwerdeverfahren unabhängig von seiner finanziellen Situation ohnehin nicht gewährt werden kann.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