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RT250205 vom 10. November 2025</w:t>
      </w:r>
    </w:p>
    <w:p>
      <w:r>
        <w:t>ZH Obergericht, 2025-11-10, DE</w:t>
      </w:r>
    </w:p>
    <w:p>
      <w:r>
        <w:rPr>
          <w:b/>
        </w:rPr>
        <w:t xml:space="preserve">Quelle: </w:t>
      </w:r>
      <w:r>
        <w:t>https://mcp.opencaselaw.ch/entscheid/zh_obergericht_RT250205</w:t>
      </w:r>
    </w:p>
    <w:p>
      <w:r>
        <w:t>FR: ZH_OBERGERICHT RT250205 du 10 novembre 2025</w:t>
      </w:r>
    </w:p>
    <w:p>
      <w:r>
        <w:t>IT: ZH_OBERGERICHT RT250205 del 10 novembre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Mai 2017, Fr. 73.30 Zahlungsbefehlskosen, Fr. 162.20 Pfän- dungskosten, unter Kosten- und Entschädigungsfolgen zulasten des Beschwerdegegners." 1.3. Die vorinstanzlichen Akten wurden beigezogen (Urk. 1–9A). Da sich die Be- schwerde – wie nachfolgend aufgezeigt wird – sogleich als offensichtlich unzulässig erweist, kann auf die Einholung einer Beschwerdeantwort verzichtet werden (Art. 322 Abs. 1 ZPO).</w:t>
      </w:r>
    </w:p>
    <w:p>
      <w:r>
        <w:rPr>
          <w:b/>
        </w:rPr>
        <w:t>E. 2.1</w:t>
      </w:r>
    </w:p>
    <w:p>
      <w:r>
        <w:t>Die Gesuchsteller beantragen die Aufhebung des gesamten angefochtenen Urteils. In diesem wurde ihr Gesuch um Erteilung der definitiven Rechtsöffnung in der Betreibung Nr. 1 des Betreibungsamtes Dietikon (Zahlungsbefehl vom 11. Juni 2025) für Fr. 3'465.20 und Fr. 74.– Betreibungskosten vom 22. Juli 2025 (Urk. 1 i.V.m. Urk. 2/1) im Umfang von Fr. 3'229.70 (Fr. 3'135.05 Staats- und Gemeinde- steuern 2016 und Fr. 94.65 Zinsen) gutgeheissen (Urk. 11 S. 4 f.). Die Gesuchstel- ler sind daher in diesem Umfang durch den angefochtenen Entscheid nicht be-</w:t>
      </w:r>
    </w:p>
    <w:p>
      <w:r>
        <w:t>- 3 - schwert und haben damit an dessen Aufhebung kein schutzwürdiges Interesse, weshalb insoweit auf ihre Beschwerde nicht einzutreten ist (Art. 59 Abs. 1 und Abs. 2 lit. a ZPO).</w:t>
      </w:r>
    </w:p>
    <w:p>
      <w:r>
        <w:rPr>
          <w:b/>
        </w:rPr>
        <w:t>E. 2.2</w:t>
      </w:r>
    </w:p>
    <w:p>
      <w:r>
        <w:t>Mit Beschwerdeantrag Ziffer 2 stellen die Gesuchsteller zudem ein neues Rechtsöffnungsbegehren in einer anderen Betreibung (Nr. 2 des Betreibungsamtes Zürich 11), welche nicht Gegenstand des erstinstanzlichen Verfahrens bildete. Neue Anträge sind im Beschwerdeverfahren ausgeschlossen (Art. 326 Abs. 1 ZPO). Auf die Beschwerde ist daher insgesamt nicht einzutreten.</w:t>
      </w:r>
    </w:p>
    <w:p>
      <w:r>
        <w:rPr>
          <w:b/>
        </w:rPr>
        <w:t>E. 2.3</w:t>
      </w:r>
    </w:p>
    <w:p>
      <w:r>
        <w:t>Der Vollständigkeit halber ist darauf hinzuweisen, dass selbst wenn die Ge- suchsteller unter Nachreichung des Verlustscheins vom 2. Mai 2017 (Urk. 13/2) dasselbe Begehren wie vor Vorinstanz gestellt hätten, ihrer Beschwerde kein Erfolg beschieden gewesen wäre, da neue Beweismittel im Beschwerdeverfahren nicht mehr zu berücksichtigen sind (Art. 326 Abs. 1 ZPO). Ihr Versäumnis, den Verlust- schein rechtzeitig ins Verfahren einzubringen, hätte nicht mehr geheilt werden kön- nen.</w:t>
      </w:r>
    </w:p>
    <w:p>
      <w:r>
        <w:rPr>
          <w:b/>
        </w:rPr>
        <w:t>E. 3</w:t>
      </w:r>
    </w:p>
    <w:p>
      <w:r>
        <w:t>Die Entscheidgebühr für das Beschwerdeverfahren ist in Anwendung von Art. 48 in Verbindung mit Art. 61 Abs. 1 GebV SchKG auf Fr. 150.– festzusetzen. Die Kosten des Beschwerdeverfahrens sind grundsätzlich den unterliegenden Ge- suchstellern aufzuerlegen (Art. 106 Abs. 1 ZPO). Dem Staat Zürich als einem der Gesuchsteller dürfen keine Kosten auferlegt werden (§ 200 lit. a GOG). Die Kos- tenbefreiung gilt jedoch nicht für die Stadt A._____ und römisch-katholische Kirchgemeinde als weitere Gesuchsteller. Zwei Drittel des zweitinstanzlichen Ver- fahrens (Fr. 100.–) sind demnach der Stadt A._____ und der römisch-katholische Kirchgemeinde je zur Hälfte aufzuerlegen. Mangels relevanter Umtriebe ist dem Gesuchsgegner keine Parteientschädigung zuzusprechen (vgl. Art. 95 Abs. 3 und Art. 106 Abs. 1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