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RT250195 vom 10. November 2025</w:t>
      </w:r>
    </w:p>
    <w:p>
      <w:r>
        <w:t>ZH Obergericht, 2025-11-10, DE</w:t>
      </w:r>
    </w:p>
    <w:p>
      <w:r>
        <w:rPr>
          <w:b/>
        </w:rPr>
        <w:t xml:space="preserve">Quelle: </w:t>
      </w:r>
      <w:r>
        <w:t>https://mcp.opencaselaw.ch/entscheid/zh_obergericht_RT250195</w:t>
      </w:r>
    </w:p>
    <w:p>
      <w:r>
        <w:t>FR: ZH_OBERGERICHT RT250195 du 10 novembre 2025</w:t>
      </w:r>
    </w:p>
    <w:p>
      <w:r>
        <w:t>IT: ZH_OBERGERICHT RT250195 del 10 novembre 2025</w:t>
      </w:r>
    </w:p>
    <w:p>
      <w:pPr>
        <w:pStyle w:val="Heading2"/>
      </w:pPr>
      <w:r>
        <w:t>Erwägungen</w:t>
      </w:r>
    </w:p>
    <w:p>
      <w:r>
        <w:rPr>
          <w:b/>
        </w:rPr>
        <w:t>E. 2</w:t>
      </w:r>
    </w:p>
    <w:p>
      <w:r>
        <w:t>Das Urteil des Bezirksgerichts Zürich mit dem Geschäfts Nr. EB251011-L / U vom 22. September 2025 sei aufzuheben.</w:t>
      </w:r>
    </w:p>
    <w:p>
      <w:r>
        <w:rPr>
          <w:b/>
        </w:rPr>
        <w:t>E. 2.1</w:t>
      </w:r>
    </w:p>
    <w:p>
      <w:r>
        <w:t>Das Beschwerdeverfahren stellt keine Fortsetzung des erstinstanzlichen Ver- fahrens dar. Mit der Beschwerde können die unrichtige Rechtsanwendung und die</w:t>
      </w:r>
    </w:p>
    <w:p>
      <w:r>
        <w:t>- 3 -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3. Die Gesuchsgegnerin liess sich vor Vorinstanz innert angesetzter und er- streckter Frist (Urk. 7) nicht vernehmen und trägt nun im Beschwerdeverfahren erstmals vor, dass sich das angefochtene Urteil, welches ihr am 2. Oktober 2025 zugestellt worden sei, auf ein Verfahren mit dem Aktenkennzeichen 15 0 264/22 im Fall B._____ gegen A._____ AG aus C._____ (Deutschland) beziehe. Das vollstän- dige Urteil in dieser Angelegenheit sei ihm (dem Vertreter der Gesuchsgegnerin) nicht zugestellt worden, es lägen lediglich Protokolle aus C._____ vor, welche je- doch kein Urteil darstellten. Zudem basiere dieses Urteil auf einer unwahren Unter- schrift der Auftragserteilung (Mandatsvertrag). Seine Unterschrift auf der Auftrags- erteilung sei eine digitale Unterschrift, die sich deutlich von seiner tatsächlichen Unterschrift unterscheide und somit eine Urkundenfälschung darstelle. Sodann ver- stosse die nicht ordnungsgemässe Zustellung gegen den Ordre Public (Urk. 11). Die Gesuchsgegnerin argumentiert damit ohne Bezugnahme auf die Ausführungen der Vorinstanz, mit welcher diese die Vollstreckbarkeit und das Vorliegen eines de- finitiven Rechtsöffnungstitels bejahte, und beruft sich dabei auch auf neue tatsäch-</w:t>
      </w:r>
    </w:p>
    <w:p>
      <w:r>
        <w:t>- 4 - liche Vorbringen, welche nicht mehr zu hören sind (vgl. E. 2). Daran ändert auch die inzidente Prüfung der Vollstreckbarkeit nichts. Gegen die Rechtsöffnungsent- scheidung sowie die dabei inzident ausgesprochene Vollstreckbarerklärung sind die herkömmlichen Rechtsmittel und nicht etwa der Rechtsbehelf nach dem Lu- gano-Übereinkommen gegeben. Entsprechend kann der erstinstanzliche Rechts- öffnungsentscheid nur mittels Beschwerde angefochten werden und Noven sind grundsätzlich unzulässig (BSK LugÜ-Hofmann / Kunz, Art. 38 N 316 f.). Nach dem Gesagten ist auf die Beschwerde nicht einzutreten. Entsprechend erübrigt es sich, über den Antrag betreffend Erteilung der aufschiebenden Wirkung zu entscheiden. 4. Für das Beschwerdeverfahren beträgt der Streitwert Fr. 244'428.17. Die zwei- tinstanzliche Entscheidgebühr ist in Anwendung von Art. 48 i.V.m. Art. 61 Abs. 1 GebV SchKG auf Fr. 2'000.– festzusetzen und ausgangsgemäss der Gesuchsgeg- nerin aufzuerlegen (Art. 106 Abs. 1 ZPO). Parteientschädigungen sind keine zuzu- sprechen, der Gesuchsgegnerin zufolge ihres Unterliegens und der Gesuchstellerin mangels relevanter Umtriebe (Art. 106 Abs. 1, Art. 95 Abs. 3 ZPO). Es wird beschlossen:</w:t>
      </w:r>
    </w:p>
    <w:p>
      <w:r>
        <w:rPr>
          <w:b/>
        </w:rPr>
        <w:t>E. 3</w:t>
      </w:r>
    </w:p>
    <w:p>
      <w:r>
        <w:t>Die Angelegenheit sei zur Neubeurteilung an das Bezirksgericht Zürich zurückzuweisen.</w:t>
      </w:r>
    </w:p>
    <w:p>
      <w:r>
        <w:rPr>
          <w:b/>
        </w:rPr>
        <w:t>E. 4</w:t>
      </w:r>
    </w:p>
    <w:p>
      <w:r>
        <w:t>Der Beschwerde sei die aufschiebende Wirkung zu erteilen, um die Einleitung eines Konkursverfahrens zu verhindern.</w:t>
      </w:r>
    </w:p>
    <w:p>
      <w:r>
        <w:rPr>
          <w:b/>
        </w:rPr>
        <w:t>E. 5</w:t>
      </w:r>
    </w:p>
    <w:p>
      <w:r>
        <w:t>Es sei festzustellen, dass die dem Urteil zugrunde liegende Auf- tragserteilung (Mandatsvertrag) aufgrund einer Urkundenfäl- schung ungültig ist.</w:t>
      </w:r>
    </w:p>
    <w:p>
      <w:r>
        <w:rPr>
          <w:b/>
        </w:rPr>
        <w:t>E. 6</w:t>
      </w:r>
    </w:p>
    <w:p>
      <w:r>
        <w:t>Es sei eine angemessene Parteientschädigung zuzusprechen." 1.3 Mit Verfügung vom 17. Oktober 2025 wurde der Gesuchsgegnerin Frist ange- setzt, um die Beschwerde vom 11. Oktober 2025 mit einer Unterschrift zu versehen (Urk. 14 S. 2), woraufhin die Gesuchsgegnerin die Beschwerde vom 11. Oktober 2025 am 31. Oktober 2025 rechtsgültig unterzeichnet ins Recht legte (Urk. 15). 1.4 Die vorinstanzlichen Akten wurden beigezogen (Urk. 1-10). Wie sogleich auf- zuzeigen sein wird, erweist sich die Beschwerde als offensichtlich unbegründet, weshalb sich das Einholen einer Beschwerdeantwort erübrigt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