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RT250192 vom 20. Oktober 2025</w:t>
      </w:r>
    </w:p>
    <w:p>
      <w:r>
        <w:t>ZH Obergericht, 2025-10-20, DE</w:t>
      </w:r>
    </w:p>
    <w:p>
      <w:r>
        <w:rPr>
          <w:b/>
        </w:rPr>
        <w:t xml:space="preserve">Quelle: </w:t>
      </w:r>
      <w:r>
        <w:t>https://mcp.opencaselaw.ch/entscheid/zh_obergericht_RT250192</w:t>
      </w:r>
    </w:p>
    <w:p>
      <w:r>
        <w:t>FR: ZH_OBERGERICHT RT250192 du 20 octobre 2025</w:t>
      </w:r>
    </w:p>
    <w:p>
      <w:r>
        <w:t>IT: ZH_OBERGERICHT RT250192 del 20 ottobre 2025</w:t>
      </w:r>
    </w:p>
    <w:p>
      <w:pPr>
        <w:pStyle w:val="Heading2"/>
      </w:pPr>
      <w:r>
        <w:t>Volltext</w:t>
      </w:r>
    </w:p>
    <w:p>
      <w:r>
        <w:t>Obergericht des Kantons Zürich I. Zivilkammer Geschäfts-Nr.: RT250192-O/U Mitwirkend: Oberrichter lic. iur. A. Huizinga, Vorsitzender, Oberrichterin lic. iur. B. Schärer und Oberrichter lic. iur. K. Vogel sowie Gerichtsschreiberin MLaw I. Aeberhard Beschluss vom 20. Oktober 2025 in Sachen A._____, Gesuchsgegnerin und Beschwerdeführerin gegen Gemeinde B._____, Gesuchstellerin und Beschwerdegegnerin vertreten durch Soziale Dienste B._____, betreffend Rechtsöffnung Beschwerde gegen eine Verfügung des Einzelgerichts Audienz am Bezirksgericht Zürich vom 23. September 2025 (EB251181-L)</w:t>
      </w:r>
    </w:p>
    <w:p>
      <w:r>
        <w:t>- 2 - Nach Einsicht in die Beschwerde der Gesuchsgegnerin vom 1. Oktober 2025 (Da- tum Poststempel: 6. Oktober 2025), mit der sie die Aufhebung der angefochtenen Verfügung vom 23. September 2025 beantragt (Urk. 7 S. 1), in der Erwägung, dass zur Ergreifung einer Beschwerde nur legitimiert ist, wer durch den angefoch- tenen Entscheid formell und materiell beschwert ist (OGer ZH PF210021 vom 13. Juli 2021 E. 2.2.1 m.w.H.), dass die Vorinstanz mit der angefochtenen Verfügung vom 23. September 2025 auf das Rechtsöffnungsgesuch der Gesuchstellerin nicht eintrat und festhielt, dass die Entscheidgebühr ausser Ansatz fällt (Urk. 5 Dispositiv-Ziffer 1 und 2 = Urk. 8 Dispositiv-Ziffern 1 und 2), dass die Gesuchsgegnerin durch die angefochtene Verfügung – entgegen ihrer An- sicht (Urk. 7 S. 2) – nicht beschwert ist, zumal die Vorinstanz erwog, dass die Be- treibung nichtig sei (Urk. 8 E. 2.3), und die Verfügung auch dem zuständigen Be- treibungsamt zustellte (Urk. 8 Dispositiv-Ziffer 3), womit nun keine Bekanntgabe der Betreibung an Drittpersonen mehr erfolgen darf (Art. 8a Abs. 3 lit. a SchKG), dass auf die Beschwerde folglich nicht einzutreten ist (Art. 59 Abs. 2 lit a ZPO, der auch im Beschwerdeverfahren Anwendung findet; BGer 5D_14/2020 vom 28. Ok- tober 2020 E. 4.3.1), dass die Prozesskosten des Beschwerdeverfahrens ausgangsgemäss der Ge- suchsgegnerin aufzuerlegen sind (Art. 106 Abs. 1 ZPO) und die Entscheidgebühr unter Berücksichtigung des Streitwerts von Fr. 1'579.80 (vgl. Urk. 7 S. 1 i.V.m. Urk. 1b) und in Anwendung von Art. 48 i.V.m. Art. 61 Abs. 1 GebV SchKG auf Fr. 300.– festzusetzen ist,</w:t>
      </w:r>
    </w:p>
    <w:p>
      <w:r>
        <w:t>- 3 - dass der Gesuchsgegnerin infolge ihres Unterliegens (Art. 106 Abs. 1 ZPO) und der Gesuchstellerin mangels relevanter Umtriebe (Art. 95 Abs. 3 ZPO) für das Be- schwerdeverfahren keine Parteientschädigung zuzusprechen ist, wird beschlossen: 1. Auf die Beschwerde wird nicht eingetreten. 2. Die zweitinstanzliche Entscheidgebühr wird auf Fr. 300.– festgesetzt. 3. Die Gerichtskosten des Beschwerdeverfahrens werden der Gesuchsgegne- rin auferlegt. 4. Es werden keine Parteientschädigungen zugesprochen. 5. Schriftliche Mitteilung an die Parteien, an die Gesuchstellerin unter Beilage von Kopien von Urk. 7 und Urk. 9/1, sowie an die Vorinstanz, je gegen Emp- 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1'579.80. Die Beschwerde an das Bundesgericht hat keine aufschiebende Wirkung. Hinsichtlich des Fristenlaufs gelten die Art. 44 ff. BGG.</w:t>
      </w:r>
    </w:p>
    <w:p>
      <w:r>
        <w:t>- 4 - Zürich, 20. Oktober 2025 Obergericht des Kantons Zürich I. Zivilkammer Die Gerichtsschreiberin: MLaw I. Aeberhard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