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RT250178 vom 18. November 2025</w:t>
      </w:r>
    </w:p>
    <w:p>
      <w:r>
        <w:t>ZH Obergericht, 2025-11-18, DE</w:t>
      </w:r>
    </w:p>
    <w:p>
      <w:r>
        <w:rPr>
          <w:b/>
        </w:rPr>
        <w:t xml:space="preserve">Quelle: </w:t>
      </w:r>
      <w:r>
        <w:t>https://mcp.opencaselaw.ch/entscheid/zh_obergericht_RT250178</w:t>
      </w:r>
    </w:p>
    <w:p>
      <w:r>
        <w:t>FR: ZH_OBERGERICHT RT250178 du 18 novembre 2025</w:t>
      </w:r>
    </w:p>
    <w:p>
      <w:r>
        <w:t>IT: ZH_OBERGERICHT RT250178 del 18 novembre 2025</w:t>
      </w:r>
    </w:p>
    <w:p>
      <w:pPr>
        <w:pStyle w:val="Heading2"/>
      </w:pPr>
      <w:r>
        <w:t>Volltext</w:t>
      </w:r>
    </w:p>
    <w:p>
      <w:r>
        <w:t>Obergericht des Kantons Zürich I. Zivilkammer Geschäfts-Nr.: RT250178-O/U Mitwirkend: Oberrichter lic. iur. A. Huizinga, Vorsitzender, Oberrichterin lic. iur. Ch. von Moos und Oberrichterin lic. iur. N. Jeker sowie Gerichtsschreiberin MLaw N. Paszehr Beschluss vom 18. November 2025 in Sachen A._____, Gesuchsgegner und Beschwerdeführer gegen Schweizerische Eidgenossenschaft, Gesuchstellerin und Beschwerdegegnerin vertreten durch Kasse des Schweizerischen Bundesgerichtes betreffend Rechtsöffnung Beschwerde gegen ein Urteil des Einzelgerichts am Bezirksgericht Dietikon vom 16. Mai 2025 (EB250124-M)</w:t>
      </w:r>
    </w:p>
    <w:p>
      <w:r>
        <w:t>- 2 - Nach Einsicht in den vorinstanzlichen Entscheid vom 16. Mai 2025, mit welchem der Gesuchstellerin und Beschwerdegegnerin (fortan Gesuchstellerin) die definitive Rechtsöffnung in der Betreibung Nr. … des Betreibungsamts Birmensdorf (Zah- lungsbefehl vom 7. Oktober 2024) für Fr. 2'300.– nebst Zins zu 5 % seit 1. Septem- ber 2024 erteilt wurde (Urk. 11 = Urk. 15), nach Einsicht in die dagegen rechtzeitig (vgl. Art. 321 Abs. 2 ZPO und Urk. 12/3) erhobene Beschwerde des Gesuchsgegners und Beschwerdeführers (fortan Ge- suchsgegner) vom 12. September 2025 (Urk. 14) und seine am 16. September 2025 persönlich überbrachte ergänzende Beschwerde (Urk. 16), unter Hinweis auf die Präsidialverfügung vom 18. September 2025, mit welcher dem Gesuchsgegner eine Frist von 10 Tagen zur Leistung eines Vorschusses von Fr. 300.– für die Gerichtskosten des Beschwerdeverfahrens angesetzt wurde (Urk. 17; zugestellt am 30. September 2025, Empfangsschein angeheftet an Urk. 17), unter Hinweis auf die Präsidialverfügung vom 15. Oktober 2025, mit welcher dem Gesuchsgegner eine Nachfrist von 5 Tagen zur Leistung des Vorschusses ange- setzt wurde (Urk. 18; zugestellt am 24. Oktober 2025, Empfangsschein angeheftet an Urk. 18), da der Gesuchsgegner den ihm auferlegten Kostenvorschuss auch innert der am 29. Oktober 2025 abgelaufenen Nachfrist nicht geleistet hat, weshalb androhungsgemäss (Urk. 17 Dispositivziffer 2 und Urk. 18 Dispositivzif- fer 1) auf die Beschwerde nicht einzutreten ist (Art. 101 Abs. 3 ZPO), da die – nach Art. 48 i.V.m. Art. 61 Abs. 1 GebV SchKG zu bemessenden – Ge- richtskosten des Beschwerdeverfahrens ausgangsgemäss dem Gesuchsgegner aufzuerlegen und für das Beschwerdeverfahren keine Parteientschädigungen zu- zusprechen sind (vgl. Art. 106 Abs. 1 und Art. 95 Abs. 3 ZPO),</w:t>
      </w:r>
    </w:p>
    <w:p>
      <w:r>
        <w:t>- 3 - wird beschlossen: 1. Auf die Beschwerde wird nicht eingetreten. 2. Die zweitinstanzliche Entscheidgebühr wird auf Fr. 150.– festgesetzt. 3. Die Gerichtskosten des zweitinstanzlichen Verfahrens werden dem Gesuchs- gegner auferlegt. 4. Es werden keine Parteientschädigungen zugesprochen. 5. Schriftliche Mitteilung an die Parteien, an die Gesuchstellerin unter Beilage von Kopien von Urk. 16 und Urk. 18,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92 BGG. Es handelt sich um eine vermö- gensrechtliche Angelegenheit. Der Streitwert beträgt Fr. 2'300.–. Die Beschwerde an das Bundesgericht hat keine aufschiebende Wirkung. Hinsichtlich des Fristenlaufs gelten die Art. 44 ff. BGG. Zürich, 18. November 2025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