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RT250169 vom 1. Oktober 2025</w:t>
      </w:r>
    </w:p>
    <w:p>
      <w:r>
        <w:t>ZH Obergericht, 2025-10-01, DE</w:t>
      </w:r>
    </w:p>
    <w:p>
      <w:r>
        <w:rPr>
          <w:b/>
        </w:rPr>
        <w:t xml:space="preserve">Quelle: </w:t>
      </w:r>
      <w:r>
        <w:t>https://mcp.opencaselaw.ch/entscheid/zh_obergericht_RT250169</w:t>
      </w:r>
    </w:p>
    <w:p>
      <w:r>
        <w:t>FR: ZH_OBERGERICHT RT250169 du 1 octobre 2025</w:t>
      </w:r>
    </w:p>
    <w:p>
      <w:r>
        <w:t>IT: ZH_OBERGERICHT RT250169 del 1 ottobre 2025</w:t>
      </w:r>
    </w:p>
    <w:p>
      <w:pPr>
        <w:pStyle w:val="Heading2"/>
      </w:pPr>
      <w:r>
        <w:t>Erwägungen</w:t>
      </w:r>
    </w:p>
    <w:p>
      <w:r>
        <w:rPr>
          <w:b/>
        </w:rPr>
        <w:t>E. 1</w:t>
      </w:r>
    </w:p>
    <w:p>
      <w:r>
        <w:t>Gestützt auf zwei Teilentscheide und drei Entscheide ersuchte der Gesuch- steller und Beschwerdegegner (nachfolgend Gesuchsteller) bei der Vorinstanz um Rechtsöffnung in der Betreibung Nr. … des Betreibungsamtes Stadt Dietikon für Fr. 2'700.– nebst Zins zu 5 % seit 13. November 2024, Mahngebühren von Fr. 70.–, die Kosten des Zahlungsbefehls von Fr. 101.25 sowie eine Umtriebsentschädigung von Fr. 100.– (Urk. 1 und Urk. 2/1-4). Für den weiteren Prozessverlauf vor Vorin- stanz kann auf das angefochtene Urteil vom 11. Juli 2025 verwiesen werden (Urk. 7 E. 1 = Urk. 10 E. 1), mit dem die Vorinstanz dem Gesuchsteller definitive Rechts- öffnung für Fr. 2'700.– nebst Zins zu 5 % seit 13. November 2024 erteilte, das Rechtsöffnungsbegehren im Mehrbetrag abwies, die Spruchgebühr von Fr. 200.– dem Gesuchsgegner und Beschwerdeführer (nachfolgend Gesuchsgegner) aufer- legte und ihn verpflichtete, dem Gesuchsteller eine Parteientschädigung von Fr. 200.– zu bezahlen (Urk. 10 Dispositiv-Ziffern 1 bis 4). 2.1. Dagegen erhob der Gesuchsgegner mit Eingabe vom 25. August 2025 (Da- tum Poststempel österreichische Post: 25. August 2025; Datum Poststempel Schweizer Post: 26. August 2025) Beschwerde wegen befangener Richter am Ge- richt B._____ und ersuchte (sinngemäss) um eine Fristerstreckung um 20 Tage wegen eines familiären Todesfalles. Bis zum 15. September 2025 werde ein ergän- zendes Schreiben eintreffen (Urk. 9). 2.2. Weder bis zum 15. September 2025 noch bis heute ging eine ergänzte Be- schwerdeschrift ein. Die vorinstanzlichen Akten wurden beigezogen (Urk. 1-8). Da sich die Beschwerde – wie nachfolgend aufgezeigt wird – als offensichtlich unzu- lässig erweist, kann auf weitere Prozesshandlungen verzichtet werden (Art. 322 Abs. 1 ZPO). Das Verfahren erweist sich als spruchreif. 3.1.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w:t>
      </w:r>
    </w:p>
    <w:p>
      <w:r>
        <w:t>- 3 - Die beschwerdeführende Partei soll in der Beschwerdeschrift nicht bloss die Stand- punkte, die sie im vorinstanzlichen Verfahren eingenommen hat, erneut bekräfti- gen, sondern mit ihrer Kritik an den als fehlerhaft erachteten Erwägungen der Vor-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3.2. Ohne auf die vorinstanzlichen Erwägungen des angefochtenen Urteils Bezug zu nehmen, äussert der Gesuchsgegner in seiner Beschwerde einzig seinen Unmut über die Gerichte im Kanton Aargau. Damit kommt er seiner Rügeobliegenheit nicht nach. Auf die Beschwerde ist nicht einzutreten. 4.1. Die Prozesskosten des Beschwerdeverfahrens sind ausgangsgemäss dem Gesuchsgegner aufzuerlegen (Art. 106 Abs. 1 ZPO). Unter Berücksichtigung des Streitwerts von Fr. 2'700.– (vgl. Urk. 9 i.V.m. Urk. 10 Dispositiv-Ziffer 1) und in An- wendung von Art. 48 i.V.m. Art. 61 Abs. 1 GebV SchKG ist die Entscheidgebühr auf Fr. 300.– festzusetzen. 4.2. Parteientschädigungen sind für das Beschwerdeverfahren keine zuzuspre- chen: dem Gesuchsgegner infolge seines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