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RT250148 vom 26. Januar 2026</w:t>
      </w:r>
    </w:p>
    <w:p>
      <w:r>
        <w:t>ZH Obergericht, 2026-01-26, DE</w:t>
      </w:r>
    </w:p>
    <w:p>
      <w:r>
        <w:rPr>
          <w:b/>
        </w:rPr>
        <w:t xml:space="preserve">Quelle: </w:t>
      </w:r>
      <w:r>
        <w:t>https://mcp.opencaselaw.ch/entscheid/zh_obergericht_RT250148</w:t>
      </w:r>
    </w:p>
    <w:p>
      <w:r>
        <w:t>FR: ZH_OBERGERICHT RT250148 du 26 janvier 2026</w:t>
      </w:r>
    </w:p>
    <w:p>
      <w:r>
        <w:t>IT: ZH_OBERGERICHT RT250148 del 26 gennaio 2026</w:t>
      </w:r>
    </w:p>
    <w:p>
      <w:pPr>
        <w:pStyle w:val="Heading2"/>
      </w:pPr>
      <w:r>
        <w:t>Erwägungen</w:t>
      </w:r>
    </w:p>
    <w:p>
      <w:r>
        <w:rPr>
          <w:b/>
        </w:rPr>
        <w:t>E. 17</w:t>
      </w:r>
    </w:p>
    <w:p>
      <w:r>
        <w:t>Oktober 2025 wurde der Gesuchsgegnerin Frist zur Beantwortung der Be- schwerde angesetzt (Urk. 13). Eine Beschwerdeantwort ging innert Frist nicht ein. Das Verfahren ist spruchreif.</w:t>
      </w:r>
    </w:p>
    <w:p>
      <w:r>
        <w:t>- 3 - 2.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Beschwerdever- fahren ist nicht einfach eine Fortsetzung des erstinstanzlichen Verfahrens, sondern es dient der Überprüfung des angefochtenen Entscheids anhand von konkret da- gegen vorgebrachten Beanstandungen. Die Beschwerde muss sich daher mit den entsprechenden Entscheidgründen der Vorinstanz konkret und im Einzelnen aus- einandersetzen; eine blosse Darstellung der Sach- und/oder Rechtslage aus eige- ner Sicht genügt nicht. Was nicht rechtsgenügend beanstandet wird, braucht vom Obergericht nicht überprüft zu werden und hat insofern grundsätzlich Bestand. Ge- mäss Art. 326 Abs. 1 ZPO sind im Beschwerdeverfahren neue Anträge, neue Tat- sachenbehauptungen und neue Beweismittel ausgeschlossen. 3.1. Der Gesuchsteller bringt vor, er habe im Rechtsöffnungsbegehren vom 16. Juni 2025 unter Hinweis auf Art. 116 ZPO i.V.m. § 200 lit. a GOG ausdrücklich beantragt, es sei auf den Kostenbezug beim Kanton Zürich bei Kostenauflage zu- lasten des Schuldners zu verzichten. Dieses Begehren sei mit einem jüngeren Ur- teil des Obergerichts des Kantons Zürich (OGer ZH RT200119 vom 13. August 2021) begründet worden. Die Vorinstanz habe trotz dieses Hinweises ohne weitere Begründung in Dispositiv-Ziffer 2 Satz 2 einen Kostenbezug beim Kanton angeord- net. Der Kostenbezug beim Kanton erweise sich als rechtswidrig und sei daher auf- zuheben. Der Entscheid darüber, ob der Gesuchsgegnerin bei diesem Sachverhalt die Kosten des Beschwerdeverfahrens aufzuerlegen seien, werde der Rechtsmit- telinstanz überlassen (Urk. 8 S. 2 f.). 3.2. Die Vorinstanz führt zur Begründung der Kosten- und Entschädigungsfolgen aus, da die Gesuchsgegnerin unterliege, seien ihr die Kosten dieses Verfahrens aufzuerlegen (Art. 48 GebV SchKG; Art. 106 Abs. 1 ZPO). Sie seien in Anwendung von Art. 68 Abs. 1 SchKG vom Gesuchsteller zu beziehen, ihm aber von der Ge- suchsgegnerin zu ersetzen (Urk. 9 E. 4.).</w:t>
      </w:r>
    </w:p>
    <w:p>
      <w:r>
        <w:t>- 4 - 3.3. Gemäss Art. 116 Abs. 1 ZPO können die Kantone (über Art. 113 f. ZPO hin- aus) weitere Befreiungen von den Prozesskosten gewähren. Der Kanton Zürich hat von dieser Ermächtigung in § 200 GOG Gebrauch gemacht. Danach werden (unter anderem) dem Kanton in Zivilverfahren keine Gerichtskosten auferlegt. Der Begriff des Zivilverfahrens ist umfassend auszulegen. Er umfasst sämtliche Verfahren vor Zivilinstanzen, insbesondere auch das Rechtsöffnungsverfahren, beispielsweise betreffend Steuerschulden (Hauser/Schweri/Lieber, GOG-Kommentar, § 200 N 8 f.; s.a. Art. 1 lit. c und Art. 251 lit. a ZPO). Das Kostenprivileg des Kantons beruht auf der Überlegung, dass bei der Auferlegung von Prozesskosten an den Kanton letztlich wiederum die Staatskasse belastet würde; mit der Kostenfreiheit wird ver- hindert, dass ein unnötiger Verrechnungsaufwand zwischen verschiedenen kanto- nalen Stellen betrieben wird (Hauser/Schweri/Lieber, a.a.O., § 200 N 6). Folgerich- tig darf dem Kanton (ungeachtet von Art. 68 Abs. 1 SchKG) auch kein Kostenvor- schuss im Sinne von Art. 98 ZPO auferlegt werden (Hauser/ Schweri/Lieber, a.a.O., § 200 N 9; OGer ZH RT180229 vom 6. März 2019 E. 4.1). Aufgrund des Kostenpri- vilegs dürfen vom Kanton auch keine Gerichtskosten bezogen werden, die der Ge- genpartei auferlegt wurden (OGer ZH RT200119 vom 13. August 2021 E. 3.8.2). Die in Dispositiv-Ziffer 2 Satz 2 des angefochtenen Entscheids getroffene Anord- nung verletzt demnach Recht (Art. 320 lit. a ZPO) und ist ersatzlos aufzuheben. 4.1. Für diesen Entscheid sind keine Kosten zu erheben (Art. 107 Abs. 2 ZPO). 4.2. Eine Entschädigung hat der Gesuchsteller nicht beantragt (Urk. 8 S. 1) und eine solche wäre ihm mangels relevanter Umtriebe (vgl. Art. 95 Abs. 3 lit. c ZPO) auch nicht zuzusprechen. Parteientschädigungen sind im Beschwerdeverfahren folglich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