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RT250144 vom 15. August 2025</w:t>
      </w:r>
    </w:p>
    <w:p>
      <w:r>
        <w:t>ZH Obergericht, 2025-08-15, DE</w:t>
      </w:r>
    </w:p>
    <w:p>
      <w:r>
        <w:rPr>
          <w:b/>
        </w:rPr>
        <w:t xml:space="preserve">Quelle: </w:t>
      </w:r>
      <w:r>
        <w:t>https://mcp.opencaselaw.ch/entscheid/zh_obergericht_RT250144</w:t>
      </w:r>
    </w:p>
    <w:p>
      <w:r>
        <w:t>FR: ZH_OBERGERICHT RT250144 du 15 août 2025</w:t>
      </w:r>
    </w:p>
    <w:p>
      <w:r>
        <w:t>IT: ZH_OBERGERICHT RT250144 del 15 agosto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Gestützt auf den unterzeichneten Antrag für Zusatzversicherungen VVG des verstorbenen Ehemannes der Gesuchsgegnerin und Leistungsabrechnungen für dessen Spitalaufenthalte ersuchte die Gesuchstellerin bei der Vorinstanz um pro- visorische Rechtsöffnung in der Betreibung Nr. … des Betreibungsamtes Bonstet- ten für Fr. 13'542.30 (Urk. 1 S. 1, Urk. 3/1-2, Urk. 3/7 und Urk. 3/9). Für den vorin- stanzlichen Prozessverlauf kann auf das angefochtene Urteil vom 11. Juli 2025 ver- wiesen werden (Urk. 18 E. 1 = Urk. 24 E. 1). Mit erwähntem Urteil wies die Vorin- stanz das Rechtsöffnungsbegehren vollumfänglich ab, auferlegte die Entscheidge- bühr von Fr. 300.– der Gesuchstellerin und sprach keine Parteientschädigungen zu (Urk. 24 Dispositiv-Ziffern 1 bis 3). 2.1. Dagegen ging innert Frist (vgl. Art. 321 Abs. 2 ZPO und Urk. 20.) eine durch die Gesuchsgegnerin unterzeichnete, aber als durch die Gesuchstellerin einge- reicht bezeichnete Beschwerde mit folgenden Anträgen ein (Urk. 23): "1. Der Entscheid des Bezirksgerichts Affoltern vom 11. Juli 2025 sei aufzuheben.</w:t>
      </w:r>
    </w:p>
    <w:p>
      <w:r>
        <w:rPr>
          <w:b/>
        </w:rPr>
        <w:t>E. 2</w:t>
      </w:r>
    </w:p>
    <w:p>
      <w:r>
        <w:t>In der Betreibung Nr. … des Betreibungsamtes Bonstetten sei der Rechtsvorschlag zu beseitigen und der Beschwerdeführerin die provisorische Rechtsöffnung über CHF 13'542.30 zu erteilen.</w:t>
      </w:r>
    </w:p>
    <w:p>
      <w:r>
        <w:rPr>
          <w:b/>
        </w:rPr>
        <w:t>E. 2.2</w:t>
      </w:r>
    </w:p>
    <w:p>
      <w:r>
        <w:t>Die vorinstanzlichen Akten wurden beigezogen (Urk. 1-22). Da sich die Be- schwerde – wie nachfolgend aufgezeigt wird – als offensichtlich unzulässig erweist, kann auf weitere Prozesshandlungen verzichtet werden (Art. 322 Abs. 1 ZPO). Das Verfahren erweist sich als spruchreif.</w:t>
      </w:r>
    </w:p>
    <w:p>
      <w:r>
        <w:rPr>
          <w:b/>
        </w:rPr>
        <w:t>E. 3</w:t>
      </w:r>
    </w:p>
    <w:p>
      <w:r>
        <w:t>Die im vorinstanzlichen Verfahren vollumfänglich obsiegende Gesuchsgegne- rin wird durch das angefochtene Urteil nicht beschwert, weshalb auf die Be- schwerde nicht einzutreten ist (Art. 59 Abs. 2 lit a ZPO, der auch im Beschwerde- verfahren Anwendung findet; BGer 5D_14/2020 vom 28. Oktober 2020 E. 4.3.1; OGer ZH LF200049 vom E. II.2.2). Es scheint sich bei ihrer Beschwerde und bei den von ihr gewählten Parteibezeichnungen um ein Missverständnis zu handeln.</w:t>
      </w:r>
    </w:p>
    <w:p>
      <w:r>
        <w:t>- 3 - Dass sie mit Vollmacht der Gesuchstellerin in deren Namen zur Beschwerdeerhe- bung legitimiert ist, macht sie weder geltend, noch bestehen diesbezügliche Hin- weise. Es erschiene im Übrigen auch als sehr lebensfremd.Die Prozesskosten des Beschwerdeverfahrens sind antrags- bzw. ausgangsgemäss der Gesuchsgegnerin aufzuerlegen (Urk. 23 S. 2 und Art. 106 Abs. 1 ZPO). Unter Berücksichtigung des Streitwerts von Fr. 13'542.30 (vgl. Urk. 1 S. 2 i.V.m. Urk. 24 Dispositiv-Ziffer 1 und Urk. 23 S. 2) und in Anwendung von Art. 48 i.V.m. Art. 61 Abs. 1 GebV SchKG ist die Entscheidgebühr auf Fr. 100.– festzusetzen.</w:t>
      </w:r>
    </w:p>
    <w:p>
      <w:r>
        <w:rPr>
          <w:b/>
        </w:rPr>
        <w:t>E. 3.2</w:t>
      </w:r>
    </w:p>
    <w:p>
      <w:r>
        <w:t>Parteientschädigungen sind für das Beschwerdeverfahren keine zuzuspre- chen: der Gesuchsgegnerin antragsgemäss bzw. infolge ihres Unterliegens (Urk. Art. 106 Abs. 1 ZPO), der Gesuchstellerin mangels relevanter Umtriebe (Art. 95 Abs. 3 ZPO).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