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RT250136 vom 28. Juli 2025</w:t>
      </w:r>
    </w:p>
    <w:p>
      <w:r>
        <w:t>ZH Obergericht, 2025-07-28, DE</w:t>
      </w:r>
    </w:p>
    <w:p>
      <w:r>
        <w:rPr>
          <w:b/>
        </w:rPr>
        <w:t xml:space="preserve">Quelle: </w:t>
      </w:r>
      <w:r>
        <w:t>https://mcp.opencaselaw.ch/entscheid/zh_obergericht_RT250136</w:t>
      </w:r>
    </w:p>
    <w:p>
      <w:r>
        <w:t>FR: ZH_OBERGERICHT RT250136 du 28 juillet 2025</w:t>
      </w:r>
    </w:p>
    <w:p>
      <w:r>
        <w:t>IT: ZH_OBERGERICHT RT250136 del 28 luglio 2025</w:t>
      </w:r>
    </w:p>
    <w:p>
      <w:pPr>
        <w:pStyle w:val="Heading2"/>
      </w:pPr>
      <w:r>
        <w:t>Erwägungen</w:t>
      </w:r>
    </w:p>
    <w:p>
      <w:r>
        <w:rPr>
          <w:b/>
        </w:rPr>
        <w:t>E. 2</w:t>
      </w:r>
    </w:p>
    <w:p>
      <w:r>
        <w:t>Mit der Beschwerde können die unrichtige Rechtsanwendung und die offen- sichtlich unrichtige Feststellung des Sachverhalts geltend gemacht werden (Art. 320 ZPO). Die Beschwerde ist begründet einzureichen (Art. 321 Abs. 1 ZPO). Dazu gehört, dass in der Beschwerde im Einzelnen dargelegt werden muss, was genau am angefochtenen Entscheid unrichtig sein soll (BGer 5A_247/2013 vom 15. Oktober 2013 E. 3; BGer 5D_65/2014 vom 9. September 2014 E. 5.4.1; je m.H. auf BGE 138 III 374 E. 4.3.1). Was nicht in einer den gesetzlichen Begründungs- anforderungen genügenden Weise beanstandet wird, braucht von der Rechtsmittel- instanz nicht überprüft zu werden. Das gilt zumindest insoweit, als ein Mangel nicht offensichtlich ist (BGE 147 III 176 E. 4.2.1).</w:t>
      </w:r>
    </w:p>
    <w:p>
      <w:r>
        <w:rPr>
          <w:b/>
        </w:rPr>
        <w:t>E. 3</w:t>
      </w:r>
    </w:p>
    <w:p>
      <w:r>
        <w:t>Diesen Anforderungen genügt die Beschwerdeschrift der Gesuchstellerin nicht. Die Vorinstanz erwog zutreffend, dass das Rechtsöffnungsbegehren über ein Jahr nach der Zustellung des Zahlungsbefehls gestellt worden sei. Ein Zahlungs- befehl sei während einem Jahr nach dessen Zustellung gültig; vorliegend sei der Zahlungsbefehl am 4. August 2022 zugestellt worden, das Rechtsöffnungsbegeh- ren datiere vom Mai 2025. Es fehle folglich an einem gültigen Zahlungsbefehl und damit an einer Prozessvoraussetzung. Deshalb sei auf das Rechtsöffnungsbegeh-</w:t>
      </w:r>
    </w:p>
    <w:p>
      <w:r>
        <w:t>- 3 - ren nicht einzutreten (Urk. 10 S. 2). Die Gesuchstellerin setzt sich in ihrer Be- schwerdeschrift nicht mit den Erwägungen der Vorinstanz auseinander bzw. fehlt eine Begründung der Beschwerde gänzlich. Die Gesuchstellerin bittet einzig darum, die "Zahlungsklage" zu prüfen und zu bearbeiten. Im Weiteren verweist sie auf Beilagen, welche wohl den Bestand der von ihr geltend gemachten Forderung belegen sollen (Urk. 9). Entsprechend ist auf die Beschwerde nicht einzutreten.</w:t>
      </w:r>
    </w:p>
    <w:p>
      <w:r>
        <w:rPr>
          <w:b/>
        </w:rPr>
        <w:t>E. 4</w:t>
      </w:r>
    </w:p>
    <w:p>
      <w:r>
        <w:t>Für das Beschwerdeverfahren beträgt der Streitwert Fr. 11'736.45. Die zwei- tinstanzliche Entscheidgebühr ist in Anwendung von Art. 48 i.V.m. Art. 61 Abs. 1 GebV SchKG auf Fr. 150.– festzusetzen und ausgangsgemäss der Gesuchstellerin aufzuerlegen (Art. 106 Abs. 1 ZPO). Parteientschädigungen sind keine zuzuspre- chen, der Gesuchstellerin zufolge ihres Unterliegens und der Gesuchsgegnerin mangels relevanter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