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RT250134 vom 24. Juli 2025</w:t>
      </w:r>
    </w:p>
    <w:p>
      <w:r>
        <w:t>ZH Obergericht, 2025-07-24, DE</w:t>
      </w:r>
    </w:p>
    <w:p>
      <w:r>
        <w:rPr>
          <w:b/>
        </w:rPr>
        <w:t xml:space="preserve">Quelle: </w:t>
      </w:r>
      <w:r>
        <w:t>https://mcp.opencaselaw.ch/entscheid/zh_obergericht_RT250134</w:t>
      </w:r>
    </w:p>
    <w:p>
      <w:r>
        <w:t>FR: ZH_OBERGERICHT RT250134 du 24 juillet 2025</w:t>
      </w:r>
    </w:p>
    <w:p>
      <w:r>
        <w:t>IT: ZH_OBERGERICHT RT250134 del 24 luglio 2025</w:t>
      </w:r>
    </w:p>
    <w:p>
      <w:pPr>
        <w:pStyle w:val="Heading2"/>
      </w:pPr>
      <w:r>
        <w:t>Erwägungen</w:t>
      </w:r>
    </w:p>
    <w:p>
      <w:r>
        <w:rPr>
          <w:b/>
        </w:rPr>
        <w:t>E. 2</w:t>
      </w:r>
    </w:p>
    <w:p>
      <w:r>
        <w:t>Das Rechtsöffnungsbegehren der Gesuchstellerin (B._____ AG) sei abzuweisen.</w:t>
      </w:r>
    </w:p>
    <w:p>
      <w:r>
        <w:rPr>
          <w:b/>
        </w:rPr>
        <w:t>E. 2.1</w:t>
      </w:r>
    </w:p>
    <w:p>
      <w:r>
        <w:t>Das Beschwerdeverfahren stellt keine Fortsetzung des erstinstanzlichen Ver- fahrens dar. Mit der Beschwerde können die unrichtige Rechtsanwendung und die offensichtlich unrichtige Feststellung des Sachverhalts geltend gemacht werden (Art. 320 ZPO). Die Beschwerde ist begründet einzureichen (Art. 321 Abs. 1 ZPO). Dazu gehört, dass in der Beschwerde im Einzelnen dargelegt werden muss, was genau am angefochtenen Entscheid unrichtig sein soll (BGer 5A_247/2013 vom 15. Oktober 2013 E. 3; BGer 5D_65/2014 vom 9. September 2014 E. 5.4.1; je m.H. auf BGE 138 III 374 E. 4.3.1). Was nicht in einer den gesetzlichen Begründungs- anforderungen genügenden Weise beanstandet wird, braucht von der Rechtsmittel-</w:t>
      </w:r>
    </w:p>
    <w:p>
      <w:r>
        <w:t>- 3 - instanz nicht überprüft zu werden. Das gilt zumindest insoweit, als ein Mangel nicht offensichtlich ist (BGE 147 III 176 E. 4.2.1).</w:t>
      </w:r>
    </w:p>
    <w:p>
      <w:r>
        <w:rPr>
          <w:b/>
        </w:rPr>
        <w:t>E. 2.2</w:t>
      </w:r>
    </w:p>
    <w:p>
      <w:r>
        <w:t>Neue Anträge, neue Tatsachenbehauptungen und neue Beweismittel (zum Nachweis eines Beschwerdegrundes) sind im Beschwerdeverfahren ausgeschlos- sen (Art. 326 Abs. 1 ZPO); es herrscht grundsätzlich ein umfassendes Novenverbot sowohl für echte als auch unechte Noven (BGer 5A_872/2012 vom 22. Februar 2013 E. 3; BGer 5A_405/2011 vom 27. September 2011 E. 4.5.3 m.w.H.; vgl. aber immerhin BGE 139 III 466 E. 3.4; BGE 145 III 422 E. 5.2; BGer 4A_51/2015 vom 20. April 2015 E. 4.5.1).</w:t>
      </w:r>
    </w:p>
    <w:p>
      <w:r>
        <w:rPr>
          <w:b/>
        </w:rPr>
        <w:t>E. 3</w:t>
      </w:r>
    </w:p>
    <w:p>
      <w:r>
        <w:t>Diesen Anforderungen genügt die Beschwerdeschrift der Gesuchsgegnerin nicht. Sie liess sich vor Vorinstanz innert angesetzter Frist nicht vernehmen (Urk. 12 S. 2) und trägt nun im Beschwerdeverfahren erstmals vor, dass sie das Bestehen der geltend gemachten Forderung in vollem Umfang bestreite, keine Schuldaner- kennung vorliege und es auch an einem vollstreckbaren Urteil oder anderen taug- lichen Rechtsöffnungstitel fehle, der ihr gegenüber verbindlich wäre (Urk. 11 S. 1). Sie tut dies ohne Bezugnahme auf die Ausführungen der Vorinstanz, mit welcher diese das Vorliegen eines definitiven Rechtsöffnungstitels bejaht hat, und beruft sich dabei teilweise auch auf neue tatsächliche Vorbringen. Nach dem Gesagten (vgl. E. 2.) ist auf die Beschwerde daher nicht einzutreten.</w:t>
      </w:r>
    </w:p>
    <w:p>
      <w:r>
        <w:rPr>
          <w:b/>
        </w:rPr>
        <w:t>E. 4</w:t>
      </w:r>
    </w:p>
    <w:p>
      <w:r>
        <w:t>Für das Beschwerdeverfahren beträgt der Streitwert Fr. 32'085.20. Die zwei- tinstanzliche Entscheidgebühr ist in Anwendung von Art. 48 i.V.m. Art. 61 Abs. 1 GebV SchKG auf Fr. 300.– festzusetzen und ausgangsgemäss der Gesuchsgeg- nerin aufzuerlegen (Art. 106 Abs. 1 ZPO). Parteientschädigungen sind keine zuzu- sprechen, der Gesuchsgegnerin zufolge ihres Unterliegens und der Gesuchstellerin mangels relevanter Umtriebe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