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RT250126 vom 4. Juli 2025</w:t>
      </w:r>
    </w:p>
    <w:p>
      <w:r>
        <w:t>ZH Obergericht, 2025-07-04, DE</w:t>
      </w:r>
    </w:p>
    <w:p>
      <w:r>
        <w:rPr>
          <w:b/>
        </w:rPr>
        <w:t xml:space="preserve">Quelle: </w:t>
      </w:r>
      <w:r>
        <w:t>https://mcp.opencaselaw.ch/entscheid/zh_obergericht_RT250126</w:t>
      </w:r>
    </w:p>
    <w:p>
      <w:r>
        <w:t>FR: ZH_OBERGERICHT RT250126 du 4 juillet 2025</w:t>
      </w:r>
    </w:p>
    <w:p>
      <w:r>
        <w:t>IT: ZH_OBERGERICHT RT250126 del 4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Verfügung vom 14. Mai 2025 setzte die Vorinstanz der Gesuchs- gegnerin und Beschwerdeführerin (fortan Gesuchsgegnerin) Frist zur Stellung- nahme zum Rechtsöffnungsbegehren des Gesuchstellers und Beschwerdegeg- ners (fortan Gesuchsteller) an (Urk. 3/4 = Urk. 2). Dagegen erhob die Gesuchs- gegnerin mit Eingabe vom 27. Juni 2025 (gleichentags zur Post gegeben; an Urk. 1 angeheftete Sendungsverfolgung der Post) innert Frist (vgl. Urk. 3/7) Be- schwerde mit den folgenden Anträgen (Urk. 1 S. 1): "1 - Aufschiebende Wirkung sei zu erteilen.</w:t>
      </w:r>
    </w:p>
    <w:p>
      <w:r>
        <w:rPr>
          <w:b/>
        </w:rPr>
        <w:t>E. 2</w:t>
      </w:r>
    </w:p>
    <w:p>
      <w:r>
        <w:t>Die Verfügung vom 14. Mai 2025 im Bezug auf EB250654 sei für nichtig zu er- klären und aufzuheben</w:t>
      </w:r>
    </w:p>
    <w:p>
      <w:r>
        <w:rPr>
          <w:b/>
        </w:rPr>
        <w:t>E. 3</w:t>
      </w:r>
    </w:p>
    <w:p>
      <w:r>
        <w:t>Die Zustellung der Verfügung vom 14. Mai 2025 im Bezug auf EB250654 sei für nichtig zu erklären und aufzuheben und die Vorinstanz sei gerichtlich anzu- weisen, diese Verfügung erneut mit Rechtsmittelbelehrung zu erteilen.</w:t>
      </w:r>
    </w:p>
    <w:p>
      <w:r>
        <w:rPr>
          <w:b/>
        </w:rPr>
        <w:t>E. 4</w:t>
      </w:r>
    </w:p>
    <w:p>
      <w:r>
        <w:t>Das Rechtsöffnungsgesuch sei abzuweisen bzw die Vorinstanz sei gerichtlich anzuweisen, das Rechtsöffnungsgesuch abzuweisen.</w:t>
      </w:r>
    </w:p>
    <w:p>
      <w:r>
        <w:rPr>
          <w:b/>
        </w:rPr>
        <w:t>E. 5</w:t>
      </w:r>
    </w:p>
    <w:p>
      <w:r>
        <w:t>Betreibung ... sei für nichtig zu erklären und aufzuheben.</w:t>
      </w:r>
    </w:p>
    <w:p>
      <w:r>
        <w:rPr>
          <w:b/>
        </w:rPr>
        <w:t>E. 6</w:t>
      </w:r>
    </w:p>
    <w:p>
      <w:r>
        <w:t>a) Die zweitinstanzliche Entscheidgebühr ist in Anwendung von Art. 48 i.V.m. Art. 61 Abs. 1 GebV SchKG auf Fr. 300.– festzusetzen. Die Gerichtskosten des Beschwerdeverfahrens sind ausgangsgemäss der Gesuchsgegnerin aufzuer- legen (Art. 106 Abs. 1 ZPO). b) Für das Beschwerdeverfahren sind keine Parteientschädigungen zuzu- sprechen, der Gesuchsgegnerin zufolge ihres Unterliegens, dem Gesuchsteller mangels relevanter Umtriebe (Art. 106 Abs. 1, Art. 95 Abs. 3 ZPO). Es wird entschieden: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