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RT250122 vom 4. Juli 2025</w:t>
      </w:r>
    </w:p>
    <w:p>
      <w:r>
        <w:t>ZH Obergericht, 2025-07-04, DE</w:t>
      </w:r>
    </w:p>
    <w:p>
      <w:r>
        <w:rPr>
          <w:b/>
        </w:rPr>
        <w:t xml:space="preserve">Quelle: </w:t>
      </w:r>
      <w:r>
        <w:t>https://mcp.opencaselaw.ch/entscheid/zh_obergericht_RT250122</w:t>
      </w:r>
    </w:p>
    <w:p>
      <w:r>
        <w:t>FR: ZH_OBERGERICHT RT250122 du 4 juillet 2025</w:t>
      </w:r>
    </w:p>
    <w:p>
      <w:r>
        <w:t>IT: ZH_OBERGERICHT RT250122 del 4 luglio 2025</w:t>
      </w:r>
    </w:p>
    <w:p>
      <w:pPr>
        <w:pStyle w:val="Heading2"/>
      </w:pPr>
      <w:r>
        <w:t>Erwägungen</w:t>
      </w:r>
    </w:p>
    <w:p>
      <w:r>
        <w:rPr>
          <w:b/>
        </w:rPr>
        <w:t>E. 2</w:t>
      </w:r>
    </w:p>
    <w:p>
      <w:r>
        <w:t>Es sei uns eine angemessene Entschädigung zuzusprechen.</w:t>
      </w:r>
    </w:p>
    <w:p>
      <w:r>
        <w:rPr>
          <w:b/>
        </w:rPr>
        <w:t>E. 2.1</w:t>
      </w:r>
    </w:p>
    <w:p>
      <w:r>
        <w:t>Mit der Beschwerde können die unrichtige Rechtsanwendung und die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Die blosse Verweisung auf die Ausführungen vor Vor- instanz oder deren blosse Wiederholung genügen nicht (Art. 321 Abs. 1 ZPO und dazu BGer 5D_146/2017 vom 17. November 2017 E. 3.3.2; BGer 5A_247/2013 vom 15. Oktober 2013 E. 3; je mit Hinweis auf BGE 138 III 374 E. 4.3.1). Was nicht in einer den gesetzlichen Begründungsanforderungen genügenden Weise bean-</w:t>
      </w:r>
    </w:p>
    <w:p>
      <w:r>
        <w:t>- 3 - 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w:t>
      </w:r>
    </w:p>
    <w:p>
      <w:r>
        <w:rPr>
          <w:b/>
        </w:rPr>
        <w:t>E. 3</w:t>
      </w:r>
    </w:p>
    <w:p>
      <w:r>
        <w:t>Alles unter Kosten- und Entschädigungsfolge zu Lasten der Ge- suchstellerin und Beschwerdegegnerin." 1.3. Die vorinstanzlichen Akten wurden beigezogen (Urk. 1–14). Da der Be- schwerde – wie nachfolgend aufgezeigt wird – kein Erfolg beschieden ist, kann auf weitere Prozesshandlungen verzichtet werden (Art. 322 Abs. 1 ZPO).</w:t>
      </w:r>
    </w:p>
    <w:p>
      <w:r>
        <w:rPr>
          <w:b/>
        </w:rPr>
        <w:t>E. 3.1</w:t>
      </w:r>
    </w:p>
    <w:p>
      <w:r>
        <w:t>Die Vorinstanz erwog, die Gesuchstellerin stütze ihr Gesuch auf die ursprüng- lich zwischen der D._____ AG [Bank] und der Gesuchsgegnerin unterschriftlich ge- schlossene Kreditvereinbarung vom 29. Mai 2020. Aus dieser gehe hervor, dass sich die D._____ AG verpflichtet habe, der Gesuchsgegnerin einen COVID-19-Kre- dit von Fr. 330'000.– mit einer Laufzeit von 60 Monaten zu gewähren. Sodann sehe Ziffer 8 der Kreditvereinbarung vor, dass die D._____ AG das Recht habe, die Kre- ditvereinbarung aus regulatorischen oder rechtlichen Gründen jederzeit mit soforti- ger Wirkung zu kündigen, wobei sämtliche zum Zeitpunkt der Kündigung ausste- henden Beträge unmittelbar fällig und zahlbar würden. Gemäss Ziffer 9 der Kredit- vereinbarung sei der Kreditbetrag zuzüglich der aufgelaufenen Zinsen bis maximal einen Jahreszins durch eine Solidarbürgschaft der Gesuchstellerin gemäss der COVID-19-Solidarbürgschaftsverordnung besichert. Mit Schreiben vom 22. August 2023 habe die D._____ AG das Kreditverhältnis infolge ausstehender Amortisatio- nen per sofort gekündigt, nachdem sie die Gesuchsgegnerin bereits am 8. Mai 2023 erfolglos gemahnt gehabt habe. In der Folge habe die D._____ AG am 15. Ja- nuar 2024 die Bürgschaftsverpflichtung der Gesuchstellerin in der Höhe von Fr. 277'705.72 in Anspruch genommen. Am 22. April 2024 habe die D._____ AG den Zahlungseingang über Fr. 277'705.72 bestätigt, womit die Gesuchstellerin aus der Bürgschaft entlassen worden sei. Die Gesuchstellerin habe bis anhin keine Zahlungseingänge verzeichnen können. Sie verlange nun Rechtsöffnung für Fr. 277'705.70 (Urk. 16 E. 2.1).</w:t>
      </w:r>
    </w:p>
    <w:p>
      <w:r>
        <w:t>- 4 - Die Erteilung der Rechtsöffnung setze voraus, dass der Gläubiger dem Gericht ei- nen definitiven oder provisorischen Rechtsöffnungstitel vorlege. Beruhe die vom Gläubiger geltend gemachte Forderung auf einer durch die Unterschrift des Schuld- ners bekräftigten Schuldanerkennung, so erteile das Gericht die provisorische Rechtsöffnung, sofern der Betriebene nicht Einwendungen, welche die Schuldaner- kennung entkräften, sofort glaubhaft mache (Art. 82 Abs. 1 und Abs. 2 SchKG). Ein vom Darlehensnehmer rechtsgültig unterzeichneter Darlehensvertrag, der auf eine bestimmte Geldsumme laute, stelle in der Betreibung des Darleihers auf Rückzah- lung des geliehenen Betrages samt Vertragszinsen eine Schuldanerkennung und damit einen provisorischen Rechtsöffnungstitel dar, solange der Schuldner die Aus- zahlung der Darlehenssumme nicht bestreite. Nachdem die Gesuchsgegnerin die Auszahlung des Kredits nicht bestritten habe, stelle die eingereichte Kreditverein- barung einen provisorischen Rechtsöffnungstitel im Sinne von Art. 82 Abs. 1 SchKG dar (Urk. 16 E. 2.3.1 f.). Sodann könne Rechtsöffnung nur erteilt werden, wenn die Forderung bei Einleitung der Betreibung fällig gewesen sei. Ob die Fälligkeit zum massgeblichen Zeitpunkt gegeben gewesen sei, prüfe das Gericht zwar nicht von Amtes wegen, doch habe die Gesuchstellerin die Fälligkeit schlüssig zu behaupten. Dies habe Gesuchstel- lerin unter Hinweis auf das Kündigungsschreiben der D._____ AG vom 22. August 2023 getan (Urk. 16 E. 2.4.1 f.). Gründe die der Rechtsöffnung entgegenstünden, habe die Gesuchsgegnerin nicht vorgebracht und solche gingen auch aus den Akten nicht hervor. Betragsmässig sei die Forderung von Fr. 277'705.70 durch die eingereichten Unterlagen ausge- wiesen. Der Gesuchstellerin sei daher antragsgemäss die provisorische Rechtsöff- nung zu erteilen (Urk. 16 E. 2.5).</w:t>
      </w:r>
    </w:p>
    <w:p>
      <w:r>
        <w:rPr>
          <w:b/>
        </w:rPr>
        <w:t>E. 3.2</w:t>
      </w:r>
    </w:p>
    <w:p>
      <w:r>
        <w:t>Die Gesuchsgegnerin macht mit ihrer Beschwerde geltend, die Gesuchstel- lerin habe die Fälligkeit der Forderung lediglich mit Hinweis auf das Kündigungs- schreiben der D._____ AG vom 22. August 2023 behauptet. Es treffe nicht zu, dass die Fälligkeit nachgewiesen sei. Sie habe das Kündigungsschreiben vom 22. Au- gust 2023 nie erhalten. Dass die Fälligkeit zum Zeitpunkt der Einleitung der Betrei-</w:t>
      </w:r>
    </w:p>
    <w:p>
      <w:r>
        <w:t>- 5 - bung tatsächlich bestanden habe, werde bestritten. Es könne daher keine Rechts- öffnung erteilt werden (Urk. 15 S. 2).</w:t>
      </w:r>
    </w:p>
    <w:p>
      <w:r>
        <w:rPr>
          <w:b/>
        </w:rPr>
        <w:t>E. 3.3</w:t>
      </w:r>
    </w:p>
    <w:p>
      <w:r>
        <w:t>Die Gesuchsgegnerin liess sich vor Vorinstanz nicht vernehmen (Urk. 16 E. 1). Ihre erstmalige Bestreitung des Erhalts des Kündigungsschreibens ist auf- grund des umfassenden Novenverbots im Beschwerdeverfahren nicht mehr zu be- rücksichtigen (vgl. Art. 326 Abs. 1 ZPO und oben E. 2.2). Entgegen der Ansicht der Gesuchsgegnerin und in Übereinstimmung mit der Vorinstanz hat die Gesuchstel- lerin die Fälligkeit mit ihrem Hinweis auf das Kündigungsschreiben vom 22. August 2023 (Urk. 6/4) ausreichend schlüssig behauptet. Die Beschwerde ist daher abzu- weisen.</w:t>
      </w:r>
    </w:p>
    <w:p>
      <w:r>
        <w:rPr>
          <w:b/>
        </w:rPr>
        <w:t>E. 4</w:t>
      </w:r>
    </w:p>
    <w:p>
      <w:r>
        <w:t>Die Entscheidgebühr für das Beschwerdeverfahren ist in Anwendung von Art. 48 in Verbindung mit Art. 61 Abs. 1 GebV SchKG auf Fr. 2'000.– festzusetzen. Die Gerichtskosten sind ausgangsgemäss der Gesuchstellerin aufzuerlegen (Art. 106 Abs. 1 ZPO). Parteientschädigungen sind im Beschwerdeverfahren keine zuzusprechen, der Gesuchstellerin infolge ihres Unterliegens, der Gesuchsgegne- rin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