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RT250119 vom 7. Juli 2025</w:t>
      </w:r>
    </w:p>
    <w:p>
      <w:r>
        <w:t>ZH Obergericht, 2025-07-07, DE</w:t>
      </w:r>
    </w:p>
    <w:p>
      <w:r>
        <w:rPr>
          <w:b/>
        </w:rPr>
        <w:t xml:space="preserve">Quelle: </w:t>
      </w:r>
      <w:r>
        <w:t>https://mcp.opencaselaw.ch/entscheid/zh_obergericht_RT250119</w:t>
      </w:r>
    </w:p>
    <w:p>
      <w:r>
        <w:t>FR: ZH_OBERGERICHT RT250119 du 7 juillet 2025</w:t>
      </w:r>
    </w:p>
    <w:p>
      <w:r>
        <w:t>IT: ZH_OBERGERICHT RT250119 del 7 luglio 2025</w:t>
      </w:r>
    </w:p>
    <w:p>
      <w:pPr>
        <w:pStyle w:val="Heading2"/>
      </w:pPr>
      <w:r>
        <w:t>Erwägungen</w:t>
      </w:r>
    </w:p>
    <w:p>
      <w:r>
        <w:rPr>
          <w:b/>
        </w:rPr>
        <w:t>E. 2</w:t>
      </w:r>
    </w:p>
    <w:p>
      <w:r>
        <w:t>Es sei festzustellen, dass die gesetzlichen Voraussetzungen für definitive Rechtsöffnung gemäss Arts. 80-84 SchKG nicht erfüllt sind, und die Rechtsöffnung für die Betreibung Nr. 1 sei zu verwei- gern.</w:t>
      </w:r>
    </w:p>
    <w:p>
      <w:r>
        <w:rPr>
          <w:b/>
        </w:rPr>
        <w:t>E. 2.1</w:t>
      </w:r>
    </w:p>
    <w:p>
      <w:r>
        <w:t>Mit der Beschwerde können die unrichtige Rechtsanwendung und offensicht- lich unrichtige Feststellung des Sachverhalts geltend gemacht werden (Art. 320 ZPO). Die beschwerdeführende Partei hat sich in ihrer schriftlichen Beschwerde- begründung (im Sinne einer Eintretensvoraussetzung) inhaltlich mit den Erwägun- gen der Vorinstanz auseinanderzusetzen und mittels Verweisungen auf konkrete Stellen in den vorinstanzlichen Akten hinreichend genau aufzuzeigen, inwiefern der angefochtene Entscheid als fehlerhaft zu betrachten ist bzw. an einem der genann- ten Mängel leidet. Die blosse Verweisung auf die Ausführungen vor Vorinstanz oder deren blosse Wiederholung genügen nicht (Art. 321 Abs. 1 ZPO und dazu BGer 5D_146/2017 vom 17. November 2017 E. 3.3.2; BGer 5A_247/2013 vom 15. Okto- ber 2013 E. 3; je mit Hinweis auf BGE 138 III 374 E. 4.3.1). Was nicht in einer den gesetzlichen Begründungsanforderungen genügenden Weise beanstandet wird, braucht von der Rechtsmittelinstanz nicht überprüft zu werden. Das gilt zumindest insoweit, als ein Mangel nicht offensichtlich ist (BGE 147 III 176 E. 4.2.1).</w:t>
      </w:r>
    </w:p>
    <w:p>
      <w:r>
        <w:rPr>
          <w:b/>
        </w:rPr>
        <w:t>E. 2.2</w:t>
      </w:r>
    </w:p>
    <w:p>
      <w:r>
        <w:t>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w:t>
      </w:r>
    </w:p>
    <w:p>
      <w:r>
        <w:rPr>
          <w:b/>
        </w:rPr>
        <w:t>E. 3</w:t>
      </w:r>
    </w:p>
    <w:p>
      <w:r>
        <w:t>Dem Berufungskläger sei unentgeltliche Rechtspflege nach Arts. 117-120 ZPO zu gewähren.</w:t>
      </w:r>
    </w:p>
    <w:p>
      <w:r>
        <w:rPr>
          <w:b/>
        </w:rPr>
        <w:t>E. 3.1</w:t>
      </w:r>
    </w:p>
    <w:p>
      <w:r>
        <w:t>Die Vorinstanz erwog, die Gesuchsteller – Verwaltungsbehörden im Sinne von Art. 80 Abs. 2 Ziff. 2 SchKG – stützten ihr Rechtsöffnungsbegehren für die Staats- und Gemeindesteuern betreffend die Steuerperiode 2021 auf den Einschät- zungsentscheid vom 7. November 2024, gemäss Rechtskraft- und Vollstreckbar- keitsbescheinigung vom 27. März 2025 rechtskräftig und vollstreckbar, sowie auf die darauf basierende Schlussrechnung des Steueramts der Gemeinde B._____ vom 28. November 2024 des Gesuchsgegners betreffend das Steuerjahr 2021 von Fr. 11'784.45. Die Gesuchsteller verfügten somit – vorbehältlich der nachfolgend</w:t>
      </w:r>
    </w:p>
    <w:p>
      <w:r>
        <w:t>- 4 - zu prüfenden Einwendungen des Gesuchsgegners – über einen definitiven Rechts- öffnungstitel für die in Betreibung gesetzte Forderung (Urk. 12 E. 2.2). Der Gesuchsgegner rüge in seiner Stellungnahme, die im vorliegenden Rechtsöff- nungsverfahren geltend gemachte Steuerforderung beruhe auf einer offensichtlich fehlerhaften Einschätzung der Steuerbehörden. Zum einen bringe er vor, als briti- scher Staatsangehöriger ohne Niederlassungsbewilligung und mit Wohnsitz im Kanton Zürich müsse er zwingend an der Quelle besteuert werden. Die im Ein- schätzungsentscheid vom 7. November 2024 vorgenommene nachträgliche or- dentliche Veranlagung sei mithin unzulässig gewesen und könne deshalb auch nicht die Berechnungsgrundlage in der Schlussrechnung vom 28. November 2024 darstellen. Zum anderen stelle sich der Gesuchsgegner (implizit) auf den Stand- punkt, er sei aufgrund seiner Quellensteuerpflicht nicht zur Einreichung einer Steu- ererklärung verpflichtet gewesen und deshalb dürfe er ohnehin nicht ermessens- weise veranlagt werden (Urk. 12 E. 3.2). Aus den Akten sei nicht ersichtlich, weshalb das kantonale Steueramt den Ge- suchsgegner am 7. November 2024 für das Jahr 2021 nachträglich ordentlich ver- anlagt habe – anstatt eine Quellensteuer zu erheben. Der Gesuchsgegner bestreite mit Verweis auf seine finanzielle Situation insbesondere, dass die gesetzlichen Voraussetzungen der nachträglichen ordentlichen Veranlagung nach Art. 33a Abs. 1 lit. b StGH; § 93 Abs. 1 lit. a StG ZH vorgelegen hätten, weil er im betreffen- den Zeitraum bloss ein geringfügiges Einkommen erzielt und den Schwellenwert von Fr. 120'000.– gemäss Art. 9 Abs. 1 Quellensteuerverordnung (QStV) somit nie überschritten habe. Zur Darstellung seiner finanziellen Situation habe der Gesuchs- gegner seine E-Mail-Korrespondenz mit der kantonalen und kommunalen Steuer- behörde eingereicht. Aus dem Beschluss der Sozialbehörde der Gemeinde B._____ vom 20. Januar 2025 ergebe sich überdies, dass der Gesuchsgegner vom 1. März 2022 bis 30. September 2024 wirtschaftliche Hilfe im Umfang von Fr. 51'981.60 erhalten habe. Diese Umstände stünden in einem gewissen Wider- spruch zur Ermessensveranlagung für das Jahr 2021, zumal man dem Gesuchs- gegner für diesen Zeitraum ein substantielles steuerbares Einkommen von Fr. 100'000.– sowie ein steuerbares Vermögen von Fr. 200'000.– angerechnet</w:t>
      </w:r>
    </w:p>
    <w:p>
      <w:r>
        <w:t>- 5 - habe. Es sei indes nicht Sache des Rechtsöffnungsgerichts, den Sachverhalt um- fassend aufzuarbeiten und die Verfügungen der Steuerbehörden materiell zu über- prüfen. Darüber hinaus existierten mehrere Tatbestände, die eine nachträgliche or- dentliche Veranlagung zu begründen vermögen (vgl. Art. 33a Abs. 1 und 3 StHG; § 93 Abs. 1 und 2 StG ZH), weshalb sich der Gesuchsgegner auch bei einem an- geblich niedrigen Einkommen ohnehin nicht auf den Standpunkt stellen könne, eine solche sei bei ihm ausgeschlossen. Insgesamt sei somit nicht erstellt, dass steuer- rechtliche Verfahrensvorschriften verletzt worden seien. Nichtigkeit wäre jedenfalls nur bei krassen inhaltlichen oder verfahrensrechtlichen Mängeln anzunehmen. Dies sei vorliegend nicht ersichtlich (Urk. 12 E. 3.3). Der Gesuchsgegner mache weiter geltend, er habe am 27. Dezember 2023 "formell Einsprache gegen die Einschätzung des Steueramts" erhoben und verweise hierzu auf seine E-Mail an das kantonale Steueramt. Damit behaupte er zumindest sinn- gemäss, der Einschätzungsentscheid vom 7. November 2024 bzw. die darauf ba- sierende Schlussrechnung vom 28. November 2024 seien nicht vollstreckbar und berechtigten deshalb nicht zur definitiven Rechtsöffnung (Urk. 12 E. 3.4). Gegen den als Rechtsöffnungstitel vorgelegten Entscheid dürfe kein Rechtsmittel mit aufschiebender Wirkung mehr zur Verfügung stehen. Im Kanton Zürich richte sich die Mitteilung von Entscheiden auf dem Gebiet des Steuerrechts grundsätzlich nach § 126 StG. Steuerpflichtige könnten gegen Einschätzungsentscheide innert 30 Tagen nach Zustellung beim kantonalen Steueramt schriftlich Einsprache erhe- ben (§ 140 Abs. 1 StG). Die Einsprache könne auch mündlich vertreten werden (§ 140 Abs. 2 StG). Sowohl der Einschätzungsentscheid vom 7. November 2024 als auch die darauf basierende Schlussrechnung vom 28. November 2024 seien dem Gesuchsgegner unstreitig schriftlich eröffnet worden und enthielten jeweils eine Rechtsmittelbelehrung. Im Einschätzungsentscheid werde darauf hingewie- sen, dass "Einsprachen per E-Mail" ungültig seien. Ob die Einschränkung (in dieser allgemeinen Form) in der Rechtsmittelbelehrung zulässig sei, könne aus folgendem Grund dahingestellt bleiben: Die "formelle Einsprache" des Gesuchsgegners per E-Mail sei am 27. Dezember 2023 erfolgt, also rund elf Monate vor Erlass des Ein- schätzungsentscheids vom 7. November 2024 und der Schlussrechnung vom</w:t>
      </w:r>
    </w:p>
    <w:p>
      <w:r>
        <w:t>- 6 - 28. November 2024 und könne sich folglich nicht auf den vorliegend zu beurteilen- den Rechtsöffnungstitel beziehen. Dasselbe gelte für den Fall, dass der Gesuchs- gegner am 22. Dezember 2023 mündlich bei der Gemeinde B._____ Einsprache erhoben haben sollte. Die Vollstreckbarkeit des Einschätzungsentscheids und der Schlussrechnung stünden damit ausser Frage. Der Gesuchsgegner habe im Er- gebnis keine rechtswirksamen Einwendungen im Sinne von Art. 81 Abs. 1 SchKG erhoben (Urk. 12 E. 3.5 f.).</w:t>
      </w:r>
    </w:p>
    <w:p>
      <w:r>
        <w:rPr>
          <w:b/>
        </w:rPr>
        <w:t>E. 3.2</w:t>
      </w:r>
    </w:p>
    <w:p>
      <w:r>
        <w:t>Der Gesuchsgegner macht mit seiner Beschwerde geltend, für die Steuer- jahre 2020/2021 existiere keine Schlussrechnung, der Zahlungsbefehl vom 13. März 2025 sei lediglich provisorisch und nicht titelfähig. Es liege kein gültiger Rechtsöffnungstitel vor (Urk. 11 S. 1). Die in Betreibung gesetzte Forderung betrifft nicht das Steuerjahr 2020, sodass es keiner Schlussrechnung für dieses Jahr bedarf. Die Schlussrechnung für die Staats- und Gemeindesteuern 2021 datiert vom 28. November 2021 (Urk. 3/4). Vor Vorinstanz bestritt der Gesuchsgegner nicht, diese erhalten zu haben (Urk. 12 E. 3.6). Sollte er mit seinem Vorbringen deren Erhalt bestreiten wollen, wäre er da- mit aufgrund des Novenverbots im Beschwerdeverfahren nicht mehr zu hören (oben E. 2.2). Wie die Vorinstanz zutreffend ausführte, stellen der Einschätzungs- entscheid vom 7. November 2024 (Urk. 3/2) zusammen mit der Schlussrechnung des Steueramts der Gemeinde B._____ vom 28. November 2024 betreffend das Steuerjahr 2021 (Urk. 3/4) – Einwendungen des Gesuchsgegners vorbehalten (Art. 81 SchKG) – einen gültigen definitiven Rechtsöffnungstitel im Sinne von Art. 80 Abs. 2 Ziff. 2 SchKG dar.</w:t>
      </w:r>
    </w:p>
    <w:p>
      <w:r>
        <w:rPr>
          <w:b/>
        </w:rPr>
        <w:t>E. 3.3</w:t>
      </w:r>
    </w:p>
    <w:p>
      <w:r>
        <w:t>Weiter stellt sich der Gesuchsgegner – wie bereits vor Vorinstanz (Urk. 12 E. 3.2) – auf den Standpunkt, nicht zur Einreichung einer Steuererklärung verpflich- tet gewesen zu sein (Urk. 11 S. 2). Dies stellt keine ausreichende Auseinandersetzung mit den vorinstanzlichen Erwä- gungen (Urk. 12 E. 3.3) dar. Es ist daher nicht weiter darauf einzugehen (oben E. 2.1).</w:t>
      </w:r>
    </w:p>
    <w:p>
      <w:r>
        <w:t>- 7 -</w:t>
      </w:r>
    </w:p>
    <w:p>
      <w:r>
        <w:rPr>
          <w:b/>
        </w:rPr>
        <w:t>E. 3.4</w:t>
      </w:r>
    </w:p>
    <w:p>
      <w:r>
        <w:t>Sodann rügt der Gesuchsgegner eine Verletzung des rechtlichen Gehörs. Die Vorinstanz habe wesentliche Beweismittel, namentlich den Sozialhilfebescheid und das Gutachten von C._____ unberücksichtigt gelassen, was zur Nichtigkeit des Entscheids führe und eine Neuverhandlung erforderlich mache (Urk. 11 S. 2). Hinsichtlich des Sozialhilfebescheids ist die Rüge offensichtlich unbegründet, da die Vorinstanz diesen bei der Entscheidfindung berücksichtigte (Urk. 12 E. 3.3). Auf die diesbezüglichen Erwägungen geht der Gesuchsgegner nicht ein, womit er sei- ner Rüge- und Begründungspflicht nicht nachkommt (oben E. 2.1). Ebenfalls ge- nügt es nicht, lediglich zu kritisieren, die Vorinstanz habe "das Gutachten" von C._____ nicht berücksichtigt. Die Begründungspflicht des Gesuchsgegners hätte erfordert, dass er im vorliegenden Rechtsmittelverfahren aufzeigt, inwiefern die Vorinstanz in Berücksichtigung dieses Beweismittels zu einem anderen Ergebnis hätte kommen müssen. Im Übrigen handelt es sich bei diesem "Gutachten" lediglich um eine E-Mail von C._____, Treuhänder mit eidg. FA / Stv. Geschäftsführer der D._____ AG, an den Gesuchsgegner, in welcher dieser ausführt, dass die eigentli- che Steuerlast für das Jahr 2020 basierend auf den ihm vorgelegten Informationen bei nahezu Fr. 0.– gelegen habe und es nicht nachvollziehbar sei, warum der Ge- suchsgegner überhaupt eine Steuererklärung hätte ausfüllen sollen (Urk. 7/9). Wie bereits erwähnt, betrifft die in Betreibung gesetzte Forderung jedoch nicht das Steu- erjahr 2020, sondern das Jahr 2021. Zudem brachte der Gesuchsgegner diesen Einwand vor Vorinstanz vor, worauf die Vorinstanz auch einging (Urk. 12 E. 3.2 f.). Mit den entsprechenden Erwägungen setzt sich der Gesuchsgegner in seiner Be- schwerdeschrift nicht auseinander, womit er den aufgezeigten Rüge- und Begrün- dungsanforderungen nicht genügt (oben E. 2.1). Damit hat es sein Bewenden.</w:t>
      </w:r>
    </w:p>
    <w:p>
      <w:r>
        <w:rPr>
          <w:b/>
        </w:rPr>
        <w:t>E. 3.5</w:t>
      </w:r>
    </w:p>
    <w:p>
      <w:r>
        <w:t>Nicht weiter einzugehen ist sodann auf die Vorbringen des Gesuchsgegners zu einem eingefrorenen Konto (Urk. 11 S. 2). Wie die Vorinstanz zutreffend aus- führte, ist dies nicht Gegenstand des vorliegenden Verfahrens (Urk. 12 E. 3.7).</w:t>
      </w:r>
    </w:p>
    <w:p>
      <w:r>
        <w:rPr>
          <w:b/>
        </w:rPr>
        <w:t>E. 3.6</w:t>
      </w:r>
    </w:p>
    <w:p>
      <w:r>
        <w:t>Nach dem Gesagten gelingt es dem Gesuchsgegner somit nicht, aufzuzeigen, dass die Vorinstanz den Gesuchstellern zu Unrecht die definitive Rechtsöffnung erteilte. Die Beschwerde des Gesuchsgegners ist diesbezüglich abzuweisen.</w:t>
      </w:r>
    </w:p>
    <w:p>
      <w:r>
        <w:t>- 8 -</w:t>
      </w:r>
    </w:p>
    <w:p>
      <w:r>
        <w:rPr>
          <w:b/>
        </w:rPr>
        <w:t>E. 3.7</w:t>
      </w:r>
    </w:p>
    <w:p>
      <w:r>
        <w:t>Unklar ist, ob der Gesuchsgegner auch gegen die Abweisung seines vor- instanzlichen Gesuchs um unentgeltliche Rechtspflege Beschwerde erhebt. So macht er unter dem Titel "Anspruch auf unentgeltliche Rechtspflege" geltend, die Vorinstanz habe Einkommen und Vermögen willkürlich angesetzt und die erforder- lichen Nachweise (Sozialhilfe, Kontoauszüge) nicht eingefordert. Die Vorinstanz wies sein Gesuch jedoch nicht mangels Mittellosigkeit (Art. 117 lit. a ZPO), sondern – zu Recht – infolge Aussichtslosigkeit seiner Rechtsbegehren (Art. 117 lit. b ZPO) ab. Der Beschwerde gegen Dispositivziffer 2 des vorinstanzlichen Entscheids wäre daher kein Erfolg beschieden.</w:t>
      </w:r>
    </w:p>
    <w:p>
      <w:r>
        <w:rPr>
          <w:b/>
        </w:rPr>
        <w:t>E. 4</w:t>
      </w:r>
    </w:p>
    <w:p>
      <w:r>
        <w:t>Die Entscheidgebühr für das Beschwerdeverfahren ist in Anwendung von Art. 48 in Verbindung mit Art. 61 Abs. 1 GebV SchKG und ausgehend von einem Streitwert von Fr. 11'784.45 auf Fr. 500.– festzusetzen. Die Gerichtskosten sind ausgangsgemäss dem Gesuchsgegner aufzuerlegen (Art. 106 Abs. 1 ZPO). Soweit der Gesuchsgegner auch für das Beschwerdeverfahren die unentgeltliche Rechts- pflege beantragt (vgl. Urk. 11 S. 1 f.), ist dieses Gesuch infolge Aussichtslosigkeit der Beschwerde (Art. 117 lit. b ZPO; vgl. vorstehende Erwägungen) abzuweisen. Parteientschädigungen sind im Beschwerdeverfahren keine zuzusprechen, dem Gesuchsgegner infolge seines Unterliegens, den Gesuchstellern mangels relevan- ter Umtriebe (vgl. Art. 95 Abs. 3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