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RT250118 vom 13. August 2025</w:t>
      </w:r>
    </w:p>
    <w:p>
      <w:r>
        <w:t>ZH Obergericht, 2025-08-13, DE</w:t>
      </w:r>
    </w:p>
    <w:p>
      <w:r>
        <w:rPr>
          <w:b/>
        </w:rPr>
        <w:t xml:space="preserve">Quelle: </w:t>
      </w:r>
      <w:r>
        <w:t>https://mcp.opencaselaw.ch/entscheid/zh_obergericht_RT250118</w:t>
      </w:r>
    </w:p>
    <w:p>
      <w:r>
        <w:t>FR: ZH_OBERGERICHT RT250118 du 13 août 2025</w:t>
      </w:r>
    </w:p>
    <w:p>
      <w:r>
        <w:t>IT: ZH_OBERGERICHT RT250118 del 13 agosto 2025</w:t>
      </w:r>
    </w:p>
    <w:p>
      <w:pPr>
        <w:pStyle w:val="Heading2"/>
      </w:pPr>
      <w:r>
        <w:t>Erwägungen</w:t>
      </w:r>
    </w:p>
    <w:p>
      <w:r>
        <w:rPr>
          <w:b/>
        </w:rPr>
        <w:t>E. 1</w:t>
      </w:r>
    </w:p>
    <w:p>
      <w:r>
        <w:t>Gestützt auf das Urteil des Bezirksgerichts Zürich vom 23. Mai 2024 (Ge- schäfts-Nr. GG240041-L) und das Urteil des Obergerichts des Kantons Zürich vom 30. September 2024 (Geschäfts-Nr. SB240356-O) ersuchte der Gesuchsteller bei der Vorinstanz um Rechtsöffnung in der Betreibung-Nr. 1 des Betreibungsamtes Zürich 11 für offene Verfahrenskosten von insgesamt Fr. 5'390.– (Urk. 1 ff.). Für den vorinstanzlichen Prozessverlauf kann auf das angefochtene Urteil vom 16. Juni 2025 verwiesen werden (Urk. 9 E. 1 = Urk. 12 E. 1). Mit erwähntem Urteil erteilte die Vorinstanz dem Gesuchsteller definitive Rechtsöffnung für Fr. 5'390.–, aufer- legte die Entscheidgebühr von Fr. 300.– dem Gesuchsgegner und wies den Antrag des Gesuchstellers auf Parteientschädigung ab (Urk. 13 Dispositiv-Ziffer 1 bis 3). Dagegen erhob der Gesuchsgegner mit Eingabe vom 19. Juni 2025 rechtzeitig (vgl. Art. 321 Abs. 2 ZPO; Urk. 10b) Beschwerde. Soweit verständlich macht er gel- tend, dass das "Strassburger Gericht" zwei Urteile als nicht rechtskräftig bestätigt habe und er fordert, dass seine Forderungen vom 11. November 2024 von Fr. 2'000'000.– auf Fr. 3'000'000.– sowie von Fr. 5'000'000.– auf Fr. 6'000'000.– wegen ungesetzlicher und unmenschlicher Handlung erhöht werden, zumal der Druck seine Familie kaputtmachen könne (Urk. 11). Die vorinstanzlichen Akten wurden beigezogen (Urk. 1-10b). Da der Beschwerde – wie nachfolgend aufgezeigt wird – kein Erfolg beschieden ist, kann auf weitere Pro- zesshandlungen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w:t>
      </w:r>
    </w:p>
    <w:p>
      <w:r>
        <w:t>- 3 -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2.2. Indem der Gesuchsgegner sein bereits vor Vorinstanz vorgetragenes Argu- ment wiederholt, dass die als definitive Rechtsöffnungstitel dienenden Urteile oder andere Urteile nicht in Rechtskraft erwachsen seien (Urk. 7 und Urk. 11), setzt er sich nicht ansatzweise mit den diesbezüglichen, nicht zu beanstandenden vorin- stanzlichen Erwägungen (Urk. 12 E. 2.3 f.) auseinander. Er kommt seiner Rügeob- liegenheit somit nicht nach. Im vorliegenden Rechtsöffnungsverfahren sind sodann keine allfälligen Staatshaftungsklagen des Gesuchsgegners zu thematisieren. Auf die Beschwerde ist nicht einzutreten. Selbst wenn der Gesuchsgegner beim EGMR in Strassburg eine Individualbeschwerde nach Art. 34 EMRK erhoben haben sollte, würde dies allein nichts an der Rechtskraft und Vollstreckbarkeit des Urteils des Bezirksgerichts Zürich vom 23. Mai 2024 (Geschäfts-Nr. GG240041-L; Urk. 4/1), des Urteil des Obergerichts des Kantons Zürich vom 30. September 2024 (Ge- schäfts-Nr. SB240356-O; Urk. 4/2) oder des Urteils des Bundesgerichts vom 10. Dezember 2024 (Geschäfts-Nr. 6B_891/2024; Urk. 4/3) ändern (Art. 61 BGG, Urteil EGMR Shamayev gegen Georgien und Russland [Nr. 3637/02] vom 12. April 2005 E. 472 ["The exercise of the right of application guaranteed by Article 34 of the Convention does not, as such, have suspensive effect in domestic law, and, in particular, has no suspensive effect on the execution of an administrative or judicial decision"], VGer ZH VB.2024.00093 vom 1. Oktober 2024 E. 2.2).</w:t>
      </w:r>
    </w:p>
    <w:p>
      <w:r>
        <w:t>- 4 - 3.1. Die Prozesskosten des Beschwerdeverfahrens sind ausgangsgemäss dem Gesuchsgegner aufzuerlegen (Art. 106 Abs. 1 ZPO). Unter Berücksichtigung des Streitwerts von Fr. 5'390.– (vgl. Urk. 12 Dispositiv-Ziffer 1) und in Anwendung von Art. 48 i.V.m. Art. 61 Abs. 1 GebV SchKG ist die Entscheidgebühr auf Fr. 300.– festzusetzen. 3.2. Parteientschädigungen sind für das Beschwerdeverfahren keine zuzuspre- chen: dem Gesuchsgegner infolge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