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RT250105 vom 6. Juni 2025</w:t>
      </w:r>
    </w:p>
    <w:p>
      <w:r>
        <w:t>ZH Obergericht, 2025-06-06, DE</w:t>
      </w:r>
    </w:p>
    <w:p>
      <w:r>
        <w:rPr>
          <w:b/>
        </w:rPr>
        <w:t xml:space="preserve">Quelle: </w:t>
      </w:r>
      <w:r>
        <w:t>https://mcp.opencaselaw.ch/entscheid/zh_obergericht_RT250105</w:t>
      </w:r>
    </w:p>
    <w:p>
      <w:r>
        <w:t>FR: ZH_OBERGERICHT RT250105 du 6 juin 2025</w:t>
      </w:r>
    </w:p>
    <w:p>
      <w:r>
        <w:t>IT: ZH_OBERGERICHT RT250105 del 6 giugno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Juni 2025, ablief (Art. 142 Abs. 1 und Abs. 3 ZPO), da die am letzten Tag der Beschwerdefrist eingegangene Eingabe des Gesuchs- gegners vom 1. Juni 2025 einzig eine Fristerstreckung zur Einreichung einer "soli- den (und korrekt) belegten Beschwerde" beinhaltet (Urk. 1), in der Erwägung, dass die Frist für die Erhebung einer Beschwerde vom Gesetz vorgegeben ist (Art. 321 Abs. 2 ZPO), weshalb eine Erstreckung nach ausdrückli- cher gesetzlicher Vorschrift ausgeschlossen (Art. 144 Abs. 1 ZPO) und das Fris- terstreckungsgesuch daher abzuweisen ist, in der weiteren Erwägung, dass innert der Beschwerdefrist keine den prozessua- len Anforderungen (Art. 321 Abs. 1 ZPO) genügende Beschwerde eingegangen und das vorliegende Beschwerdeverfahren entsprechend abzuschreiben ist, da für den vorliegenden Entscheid eine Entscheidgebühr von Fr. 500.– (Art. 48 Abs. 1 i.V.m. Art. 61 Abs. 1 GebV SchKG) festzusetzen und ausgangsgemäss dem Gesuchsgegner aufzuerlegen ist sowie keine Parteientschädigungen zuzu-</w:t>
      </w:r>
    </w:p>
    <w:p>
      <w:r>
        <w:t>- 3 - sprechen sind, dem Gesuchsgegner zufolge seines Unterliegens (Art. 106 Abs. 1 ZPO) und der Gesuchstellerin mangels relevanter Umtriebe (Art. 95 Abs. 3 ZPO),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