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RT250103 vom 29. September 2025</w:t>
      </w:r>
    </w:p>
    <w:p>
      <w:r>
        <w:t>ZH Obergericht, 2025-09-29, DE</w:t>
      </w:r>
    </w:p>
    <w:p>
      <w:r>
        <w:rPr>
          <w:b/>
        </w:rPr>
        <w:t xml:space="preserve">Quelle: </w:t>
      </w:r>
      <w:r>
        <w:t>https://mcp.opencaselaw.ch/entscheid/zh_obergericht_RT250103</w:t>
      </w:r>
    </w:p>
    <w:p>
      <w:r>
        <w:t>FR: ZH_OBERGERICHT RT250103 du 29 septembre 2025</w:t>
      </w:r>
    </w:p>
    <w:p>
      <w:r>
        <w:t>IT: ZH_OBERGERICHT RT250103 del 29 settembre 2025</w:t>
      </w:r>
    </w:p>
    <w:p>
      <w:pPr>
        <w:pStyle w:val="Heading2"/>
      </w:pPr>
      <w:r>
        <w:t>Erwägungen</w:t>
      </w:r>
    </w:p>
    <w:p>
      <w:r>
        <w:rPr>
          <w:b/>
        </w:rPr>
        <w:t>E. 1</w:t>
      </w:r>
    </w:p>
    <w:p>
      <w:r>
        <w:t>a) Mit zunächst unbegründetem (Urk. 12) und hernach begründetem Ur- teil vom 26. Februar 2025 erteilte die Vorinstanz dem Gesuchsteller und Be- schwerdegegner (fortan Gesuchsteller) in der Betreibung Nr. 1 des Betreibungs- amtes Wallisellen-Dietlikon (Zahlungsbefehl vom 31. Juli 2024) provisorische Rechtsöffnung für Fr. 4'154.55 nebst Zinsen zu 5 % seit 27. Mai 2024, wies im Mehrbetrag (Betreibungskosten) das Rechtsöffnungsbegehren ab und auferlegte dem Gesuchsgegner und Beschwerdeführer (fortan Gesuchsgegner) die Ent- scheidgebühr von Fr. 200.– (Urk. 17 Dispositiv-Ziffern 1-3 = Urk. 20 Dispositiv-Zif- fern 1-3). b) Hiergegen erhob der Gesuchsgegner mit Eingabe vom 30. Mai 2025 (gleichentags zur Post gegeben, eingegangen am 2. Juni 2025; vgl. an Urk. 19 angehefteter Briefumschlag samt Sendungsverfolgung der Post) fristgerecht (vgl. Urk. 18: Zustellung am 23. Mai 2025) Beschwerde mit den folgenden Anträgen (Urk. 19 S. 2): "1. Es sei das angefochtene Urteil aufzuheben bzw. sei das provisorische Rechts- öffnungsbegehren des Gesuchstellers abzuweisen.</w:t>
      </w:r>
    </w:p>
    <w:p>
      <w:r>
        <w:rPr>
          <w:b/>
        </w:rPr>
        <w:t>E. 2</w:t>
      </w:r>
    </w:p>
    <w:p>
      <w:r>
        <w:t>Der Gesuchsteller sei anzuweisen, die von Herrn A._____ am 4.6.24 unter- zeichnete Empfangsbestätigung für die 11 Beilagen im Doppel zu meinem Klageentwurf vom 8.12.23 einzureichen (vgl. dazu meine nachfolgenden Aus- führungen).</w:t>
      </w:r>
    </w:p>
    <w:p>
      <w:r>
        <w:rPr>
          <w:b/>
        </w:rPr>
        <w:t>E. 3</w:t>
      </w:r>
    </w:p>
    <w:p>
      <w:r>
        <w:t>Eventualiter sei das angefochtene Urteil aufzuheben und es sei diese Angele- genheit an die Vorinstanz zurückzuweisen. Diese sei anzuweisen, auf die de- taillierten Argumente in meiner Stellungnahme vom 17.1.25 (vgl. Beilage 2) und die dazugehörigen 14 Beilagen einzugehen. […]</w:t>
      </w:r>
    </w:p>
    <w:p>
      <w:r>
        <w:rPr>
          <w:b/>
        </w:rPr>
        <w:t>E. 4</w:t>
      </w:r>
    </w:p>
    <w:p>
      <w:r>
        <w:t>a) Die zweitinstanzliche Entscheidgebühr ist in Anwendung von Art. 48 i.V.m. Art. 61 Abs. 1 GebV OG auf Fr. 300.– festzusetzen. Die Prozesskosten werden der unterliegenden Partei auferlegt. Bei Nichteintreten gilt die klagende Partei bzw. die Partei, welche das Rechtsmittel erhoben hat, als unterliegend (vgl. Art. 106 Abs. 1 ZPO), weshalb dem Gesuchsgegner die Gerichtskosten des Be- schwerdeverfahrens aufzuerlegen und mit dem von ihm geleisteten Kostenvor- schuss von Fr. 300.– zu verrechnen sind (Art. 111 Abs. 1 ZPO). b) Für das Beschwerdeverfahren sind keine Parteientschädigungen zuzu- sprechen, dem Gesuchsgegner zufolge seines Unterliegens, dem Gesuchsteller – obgleich seiner unaufgefordert eingereichten Eingabe vom 13. Juni 2025 (Urk. 25 bis 28) –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