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RT250094 vom 10. Juni 2025</w:t>
      </w:r>
    </w:p>
    <w:p>
      <w:r>
        <w:t>ZH Obergericht, 2025-06-10, DE</w:t>
      </w:r>
    </w:p>
    <w:p>
      <w:r>
        <w:rPr>
          <w:b/>
        </w:rPr>
        <w:t xml:space="preserve">Quelle: </w:t>
      </w:r>
      <w:r>
        <w:t>https://mcp.opencaselaw.ch/entscheid/zh_obergericht_RT250094</w:t>
      </w:r>
    </w:p>
    <w:p>
      <w:r>
        <w:t>FR: ZH_OBERGERICHT RT250094 du 10 juin 2025</w:t>
      </w:r>
    </w:p>
    <w:p>
      <w:r>
        <w:t>IT: ZH_OBERGERICHT RT250094 del 10 giugno 2025</w:t>
      </w:r>
    </w:p>
    <w:p>
      <w:pPr>
        <w:pStyle w:val="Heading2"/>
      </w:pPr>
      <w:r>
        <w:t>Erwägungen</w:t>
      </w:r>
    </w:p>
    <w:p>
      <w:r>
        <w:rPr>
          <w:b/>
        </w:rPr>
        <w:t>E. 1</w:t>
      </w:r>
    </w:p>
    <w:p>
      <w:r>
        <w:t>Gestützt auf die Bussenverfügung vom 12. September 2023 (Urk. 2/5) er- suchte der Gesuchsteller bei der Vorinstanz um Rechtsöffnung in der Betreibung Nr. … des Betreibungsamtes Zürich 2 für die Ordnungsbusse in der Höhe von Fr. 100.–, Zins von Fr. 3.25 und Betreibungskosten von Fr. 41.– (Urk. 1 f.). Die Vor- instanz setzte der Gesuchsgegnerin eine Frist von 10 Tagen zur schriftlichen Stel- lungnahme zum Rechtsöffnungsgesuch mit dem Hinweis an, dass das Gericht bei Säumnis aufgrund der Akten entscheide (Urk. 4 Dispositiv-Ziffer 1). Nachdem in- nert Frist keine schriftliche Stellungnahme der Gesuchsgegnerin einging, hiess die Vorinstanz mit Urteil vom 13. Mai 2025 das Rechtsöffnungsgesuch im Umfang von Fr. 100.– nebst Zins von Fr. 3.25 gut, auferlegte die Entscheidgebühr von Fr. 50.– der Gesuchsgegnerin und wies den Antrag des Gesuchstellers auf Parteientschä- digung ab (Urk. 6 Dispositiv-Ziffern 1 bis 3 = Urk. 9 Dispositiv-Ziffern 1 bis 3). Dagegen erhob die Gesuchsgegnerin mit nicht unterzeichneter Eingabe vom 18. Mai 2025 (Datum Poststempel: 21. Mai 2025; Urk. 8) rechtzeitig (vgl. Art. 321 Abs. 2 ZPO und Urk. 7b) Beschwerde mit dem sinngemässen Antrag, das vorin- stanzliche Urteil aufzuheben und dessen Nichtigkeit festzustellen (Urk. 6). Die vorinstanzlichen Akten wurden beigezogen (Urk. 1-7b). Da sich die Be- schwerde – wie nachfolgend aufgezeigt wird – als offensichtlich unbegründet er- weist, kann auf weitere Prozesshandlungen, insbesondere auch auf das Ansetzen einer Nachfrist nach Art. 132 Abs. 1 ZPO wegen fehlender Unterschrift, verzichtet werden (Art. 322 Abs. 1 ZPO). Das Verfahren erweist sich als spruchreif. 2.1.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 gen, sondern mit ihrer Kritik an den als fehlerhaft erachteten Erwägungen der Vor-</w:t>
      </w:r>
    </w:p>
    <w:p>
      <w:r>
        <w:t>- 3 -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Erfüllt die Beschwerde grundlegende Inhaltsanforderungen nicht, fehlt es an einer Eintretensvoraussetzung und die Rechtsmittelinstanz hat darauf nicht ein- zutreten. Inhaltliche Nachbesserung der Begründung ist nach Ablauf der Beschwer- defrist nicht zulässig (BGer 5D_215/2015 vom 16. März 2016 E. 3.1 m.w.H.) 2.2. Neue Anträge, neue Tatsachenbehauptungen und neue Beweismittel sind im Beschwerdeverfahren ausgeschlossen (Art. 326 Abs. 1 ZPO). Was im erstinstanz- lichen Verfahren nicht behauptet oder eingereicht wurde, kann im Beschwerdever- fahren nicht mehr nachgeholt werden. Es herrscht grundsätzlich ein umfassendes Novenverbot sowohl für echte als auch unechte Noven (BGer 5A_872/2012 vom 22. Februar 2013 E. 3; ZK ZPO-Freiburghaus/Afheldt, Art. 326 N 4). Vom Noven- verbot ausgenommen sind indes in Analogie zu Art. 99 Abs. 1 BGG unechte Noven, zu deren Vorbringen erst der Entscheid der Vorinstanz Anlass gibt, was in der Be- schwerde darzulegen ist. Dabei ist die blosse Behauptung, erst der angefochtene Entscheid habe Anlass zur Nachreichung von Dokumenten gegeben, unzureichend (OGer ZH RT190179 vom 24. August 2020 E. 2.3.1 m.w.H.). Auch der vorinstanz- liche Verfahrensausgang allein bildet noch keinen hinreichenden Anlass für die ausnahmsweise Zulässigkeit von unechten Noven, die bereits im erstinstanzlichen Verfahren ohne Weiteres hätten vorgebracht werden können. Es entspricht nicht dem Sinn der Bestimmung, Noven zuzulassen, nur weil der Ausgang des Verfah- rens nicht den Erwartungen des Betroffenen entspricht. Die Ausnahmevorschrift dient insbesondere nicht dazu, von der Vorinstanz festgestellte Mängel in der Be- weisführung zu beheben, d.h. durch Nachreichung neuer Beweismittel (nicht erwar- tete) Beweislücken im Vorbringen vor Vorinstanz zu schliessen. Erfasst sind viel- mehr (nur) Fälle, in denen die Vorinstanz dem Prozess unversehens eine ganz an- dere rechtliche Basis gab, welche geänderte tatsächliche Behauptungen und Be- weismittel erheischt. Es bedarf einer vorinstanzlichen Argumentation, die für die</w:t>
      </w:r>
    </w:p>
    <w:p>
      <w:r>
        <w:t>- 4 - Parteien objektiv unvorhersehbar war. Tatsachen oder Beweismittel, die sich auf das vorinstanzliche Prozessthema beziehen, jedoch erst nach dem angefochtenen Entscheid eingetreten oder entstanden sind (sog. echte Noven), können nicht unter Art. 99 Abs. 1 BGG subsumiert werden (OGer ZH RT190183 vom 23. Juli 2020 E. 2.3 m.w.H.). 2.3. Die Gesuchstellerin setzt sich mit den Erwägungen des angefochtenen Urteils nicht ansatzweise auseinander, womit sie ihrer Rügeobliegenheit nicht nachkommt und auf die Beschwerde nicht einzutreten ist. Sie legt weder dar, noch sind Gründe ersichtlich, weshalb sie die Tilgung nicht bereits vor Vorinstanz geltend machen und belegen konnte (Urk. 8 und Urk. 10). Es handelt sich hierbei um ein im Be- schwerdeverfahren unbeachtliches unechtes Novum, das im Übrigen auch nicht die Nichtigkeit des angefochtenen Urteils bewirkt. 3.1. Die Prozesskosten des Beschwerdeverfahrens sind ausgangsgemäss der Gesuchsgegnerin aufzuerlegen (Art. 106 Abs. 1 ZPO). Unter Berücksichtigung des Streitwerts von Fr. 103.25 (vgl. Urk. 9 Dispositiv-Ziffer 1) und in Anwendung von Art. 48 i.V.m. Art. 61 Abs. 1 GebV SchKG ist die Entscheidgebühr auf Fr. 225.– festzusetzen. 3.2. Parteientschädigungen sind für das Beschwerdeverfahren keine zuzuspre- chen: der Gesuchsgegnerin infolge ihres Unterliegens (Art. 106 Abs. 1 ZPO) und mangels Begründung (Art. 95 Abs. 3 lit. c ZPO; OGer ZH PP220022 vom 8. März 2023 E. III.2.3. m.w.H.),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