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RT250075 vom 23. Oktober 2025</w:t>
      </w:r>
    </w:p>
    <w:p>
      <w:r>
        <w:t>ZH Obergericht, 2025-10-23, DE</w:t>
      </w:r>
    </w:p>
    <w:p>
      <w:r>
        <w:rPr>
          <w:b/>
        </w:rPr>
        <w:t xml:space="preserve">Quelle: </w:t>
      </w:r>
      <w:r>
        <w:t>https://mcp.opencaselaw.ch/entscheid/zh_obergericht_RT250075</w:t>
      </w:r>
    </w:p>
    <w:p>
      <w:r>
        <w:t>FR: ZH_OBERGERICHT RT250075 du 23 octobre 2025</w:t>
      </w:r>
    </w:p>
    <w:p>
      <w:r>
        <w:t>IT: ZH_OBERGERICHT RT250075 del 23 ottobre 2025</w:t>
      </w:r>
    </w:p>
    <w:p>
      <w:pPr>
        <w:pStyle w:val="Heading2"/>
      </w:pPr>
      <w:r>
        <w:t>Erwägungen</w:t>
      </w:r>
    </w:p>
    <w:p>
      <w:r>
        <w:rPr>
          <w:b/>
        </w:rPr>
        <w:t>E. 26</w:t>
      </w:r>
    </w:p>
    <w:p>
      <w:r>
        <w:t>Juni 2025 zugestellt (Urk. 22). Dieser reichte mit Eingabe vom 6. Juli 2025 eine weitere Stellungnahme ein (Urk. 23), welche der Gesuchstellerin mit Verfügung vom 29. Juli 2025 zugestellt wurde(Urk. 25). Mit Eingabe vom 7. August 2025 er- suchte der Gesuchsgegner um vorübergehende Nichtbekanntgabe seines Betrei- bungsregistereintrags betreffend die streitgegenständliche Betreibung (Nr. 1 des Betreibungsamts Zürich 4, Zahlungsbefehl vom 4. Juni 2024) für die Dauer des vorliegenden Beschwerdeverfahrens gestützt auf Art. 8a Abs. 3 lit. d SchKG (Urk.</w:t>
      </w:r>
    </w:p>
    <w:p>
      <w:r>
        <w:t>- 3 - 26). Mit Beschluss vom 13. August 2025 wurde auf das Gesuch nicht eingetreten (Urk. 27). Mit Eingabe vom 14. August 2025 liess sich die Gesuchstellerin zur Ein- gabe des Gesuchsgegners vom 6. Juli 2025 vernehmen (Urk. 28). Am 19. August 2025 reichte der Gesuchsgegner eine weitere Eingabe ein (Urk. 30). Mit Verfügung vom 20. August 2025 wurde dem Gesuchsgegner Frist angesetzt, um zur Eingabe der Gesuchstellerin vom 14. August 2025 Stellung zu nehmen (Urk. 32). Er liess sich mit Eingabe vom 25. August 2025 vernehmen (Urk. 33). Mit Eingabe vom</w:t>
      </w:r>
    </w:p>
    <w:p>
      <w:r>
        <w:rPr>
          <w:b/>
        </w:rPr>
        <w:t>E. 29</w:t>
      </w:r>
    </w:p>
    <w:p>
      <w:r>
        <w:t>August 2025 teilte die Gesuchstellerin mit, dass sie eine andere Betreibung ge- gen den Gesuchsgegner (Nr. 2) zurückgezogen habe (Urk. 36). Mit Verfügung vom 2. September 2025 wurde der Gesuchstellerin Frist angesetzt, um zu den Eingaben des Gesuchsgegners vom 19. und 25. August 2025 Stellung zu nehmen. Gleich- zeitig wurde dem Gesuchsgegner Frist angesetzt, um zur Eingabe der Gesuchstel- lerin vom 29. August 2025 Stellung zu nehmen (Urk. 38). Der Gesuchsgegner liess sich mit Eingabe vom 11. September 2025 erneut vernehmen (Urk. 39). Diese Stel- lungnahme wurde der Gesuchstellerin mit Verfügung vom 18. September 2025 zu- gestellt (Urk. 41). Es erfolgten keine weiteren Eingaben der Parteien. 1.3. Die vorinstanzlichen Akten wurden beigezogen (Urk. 1–6). Das Verfahren ist spruchreif. 2.1. Mit der Beschwerde können die unrichtige Rechtsanwendung und die offen- sichtlich unrichtige Feststellung des Sachverhalts geltend gemacht werden (Art. 320 ZPO). Die beschwerdeführende Partei hat sich in ihrer schriftlichen Be- schwerdebegründung (im Sinne einer Eintretensvoraussetzung) inhaltlich mit den Erwägungen der Vorinstanz auseinanderzusetzen und mittels Verweisungen auf konkrete Stellen in den vorinstanzlichen Akten hinreichend genau aufzuzeigen, in- wiefern der angefochtene Entscheid als fehlerhaft zu betrachten ist bzw. an einem der genannten Mängel leidet. Die blosse Verweisung auf die Ausführungen vor Vor- instanz oder deren blosse Wiederholung genügen nicht (Art. 321 Abs. 1 ZPO und dazu BGer 5D_146/2017 vom 17. November 2017 E. 3.3.2; BGer 5A_247/2013 vom 15. Oktober 2013 E. 3; je mit Hinweis auf BGE 138 III 374 E. 4.3.1). Was nicht in einer den gesetzlichen Begründungsanforderungen genügenden Weise bean- standet wird, braucht von der Rechtsmittelinstanz nicht überprüft zu werden. Das</w:t>
      </w:r>
    </w:p>
    <w:p>
      <w:r>
        <w:t>- 4 - gilt zumindest insoweit, als ein Mangel nicht offensichtlich ist (BGE 147 III 176 E. 4.2.1). 2.2. Sodann sind neue Anträge, neue Tatsachenbehauptungen und neue Beweis- mittel (Noven) im Beschwerdeverfahren ausgeschlossen (Art. 326 Abs. 1 ZPO). Was im erstinstanzlichen Verfahren nicht behauptet, bestritten oder eingereicht wurde, kann im Beschwerdeverfahren nicht mehr nachgeholt werden. Es herrscht grundsätzlich ein umfassendes Novenverbot sowohl für echte als auch unechte No- ven (BGer 5A_872/2012 vom 22. Februar 2013 E. 3; BGer 5A_405/2011 vom 27. September 2011 E. 4.5.3, m.w.H.; vgl. aber immerhin auch BGE 139 III 466 E. 3.4 und BGer 4A_51/2015 vom 20. April 2015 E. 4.5.1; zum Ganzen ferner ZK ZPO-Freiburghaus/Afheldt, Art. 326 N 4 f.; DIKE-Komm ZPO-Steininger, Art. 326 N 1 ff.). 2.3. Die Vorinstanz setzte dem Gesuchsgegner keine Frist zur Stellungnahme an, sondern wies das Rechtsöffnungsgesuch ohne dessen Anhörung infolge offen- sichtlicher Unbegründetheit ab (Urk. 8 E. 1). Soweit der Gesuchsgegner daher die Verpflichtung der Gesuchstellerin zur Leistung von Schadenersatz bzw. die Fest- stellung seines Rechts auf Geltendmachung von Schadersatz beantragt (Urk. 16 S. 3; Urk. 23 S. 4; Urk. 33 S. 5 f.; Urk. 39 S. 7) oder weitere Anträge im Zusammen- hang mit der Behandlung mit Ozempic stellt (Urk. 23 S. 4 und S. 12 f.; Urk. 39 S. 6), erfolgen diese Anträge aufgrund des Novenverbots im Beschwerdeverfahren (vor- stehende E. 2.2) verspätet. Dasselbe gilt auch für den Antrag des Gesuchsgegners um Löschung des Betreibungsregistereintrags bzw. dessen Nichtbekanntgabe (Urk. 23 S. 4; Urk. 39 S. 6 f.). Sollte der Gesuchsgegner diese Anträge als Wider- klagebegehren im Sinne von Art. 224 ZPO verstehen wollen, wären diese nach dem Wortlaut des Gesetzes (Art. 224 Abs. 1 ZPO) mit der Klageantwort in erster Instanz zu erheben, wobei die Vorinstanz zu prüfen haben würde, inwiefern solche Begehren im Rechtsöffnungsverfahren überhaupt zulässig sind. Sodann ist die Kammer zur Prüfung der strafrechtlichen Verantwortlichkeit von Dr. med. C._____ (Urk. 39 S. 6) nicht zuständig. Auf sämtliche Ausführungen der Parteien zu diesen Themen (Urk. 16; Urk. 20; Urk. 23; Urk. 28; Urk. 29; Urk. 33; Urk. 39) ist daher nicht weiter einzugehen.</w:t>
      </w:r>
    </w:p>
    <w:p>
      <w:r>
        <w:t>- 5 - 3.1. Die Vorinstanz erwog, die Erteilung der Rechtsöffnung setze voraus, dass die aus dem Rechtsöffnungstitel Berechtigte identisch sei mit der in der Betreibung auf- geführten Gläubigerin. Ob dies zutreffe, prüfe das Gericht von Amtes wegen. Fehle es an der Gleichheit zwischen der Berechtigten und der Betreibenden, sei das Ge- such abzuweisen. Einer anderen Gläubigerin könne Rechtsöffnung erteilt werden, wenn sie die Stelle der im Rechtsöffnungstitel bezeichneten Gläubigerin einnehme und der Gläubigerwechsel behauptet und durch Urkunden bewiesen sei. Sei die Berechtigung nicht behauptet oder nicht lückenlos durch Urkunden erstellt, ergebe sie sich nicht eindeutig aus dem Gesetz oder bestünden Zweifel an der Identität der Betreibenden mit der Berechtigten, so sei das Rechtsöffnungsgesuch abzuweisen. Sämtliche das Recht der Betreibenden begründende Tatbestände müssten dabei bereits zum Zeitpunkt der Zustellung des Zahlungsbefehls bestanden haben, so auch die Aktivlegitimation bzw. die Identität der aus dem Titel berechtigten und der betreibenden Partei. Diese Voraussetzung sei zweifelsfrei erfüllt, wo sich die Be- treibende im Rechtsöffnungsverfahren auf einen Titel stütze, der auf eine andere Gläubigerin laute, sie aber nachweise, dass die Forderung vor der Zustellung des Zahlungsbefehls auf sie übergegangen sei, zum Beispiel durch eine schriftliche Ab- tretungserklärung. Anders verhalte es sich, wenn eine Person die Betreibung ein- leite, die bei der Zustellung des Zahlungsbefehls an der Forderung materiell noch nicht berechtigt sei, sondern es erst nach diesem Zeitpunkt werde. Die Rechtsöff- nung sei in diesem Fall zu verweigern (Urk. 8 E. 2.1 f.). Zum Nachweis ihrer Aktivlegitimation reiche die Gesuchstellerin ein als "Abtre- tungsbescheinigung" bezeichnetes und von der "Dr. C._____'s Chirurgie AG" un- terzeichnetes Dokument ins Recht, worin "Die Praxis, Dr. med. C._____, D._____- strasse 1, E._____" der Gesuchstellerin die Forderung vom 27. Juni 2022 gegen- über dem Gesuchsgegner in der Höhe von Fr. 3'338.15 abtrete. Die Abklärungsbe- scheinigung sei allerdings nicht datiert, sodass nicht abschliessend überprüft wer- den könne, ob die Forderung vor Zustellung des Zahlungsbefehls, mithin dem 6. Juni 2024, abgetreten worden sei, sodass die Gesuchstellerin im Zeitpunkt der Zustellung des Zahlungsbefehls Gläubigerin der Forderung gewesen sei. Im Übri- gen sei darauf hinzuweisen, dass aus der eingereichten Abtretungsbescheinigung auch nicht hervorgehe, wer der Zedent der Forderung sei, zumal anfangs "Die Pra-</w:t>
      </w:r>
    </w:p>
    <w:p>
      <w:r>
        <w:t>- 6 - xis, Dr. med. C._____, D._____-strasse 1, E._____" aufgeführt, das Dokument je- doch von der "Dr. C._____'s Chirurgie AG" unterzeichnet worden sei. Somit genüge die eingereichte Abtretungsbescheinigung den strengen Anforderungen des Rechtsöffnungsverfahrens an den lückenlosen Nachweis der Aktivlegitimation nicht, weshalb das Gesuch abzuweisen sei (Urk. 8 E. 2.3). 3.2. Die Gesuchstellerin macht mit ihrer Beschwerde geltend, mit der unterzeich- neten Einverständniserklärung vom 23. Juni 2022 über einen gültigen Rechtsöff- nungstitel zu verfügen. Es treffe nicht zu, dass der im Zahlungsbefehl angegebene Gläubiger nicht mit dem im Rechtsöffnungstitel genannten Gläubiger überein- stimme. Sie habe die erforderlichen Unterlagen nachgereicht, um die Forderung zu belegen. Die Abtretungsvereinbarung sei durch Nachträge ergänzt worden. Im Nachtrag zur Abrechnungsvereinbarung infolge Änderung der Rechtspersönlich- keit werde bestätigt, dass Dr. med. C._____ die Rechte und Pflichten an die Dr. C._____'s Chirurgie AG abtrete. Zudem habe sie nebst der bereits eingereichten Abtretungsbescheinigung den Nachweis vorgelegt, dass die Forderung am 27. Juni 2022 rechtlich auf sie übergegangen sei, da sie durch den Zahlungsvorgang vom 26. Juni 2022 abgekauft worden sei (Urk. 7 S. 1 f.). 3.3. Den Nachtrag zur Abrechnungsvereinbarung infolge Änderung der Rechts- persönlichkeit vom 30. März 2022 bzw. 25. Januar 2023 (Urk. 9/1) sowie den Kon- toauszug vom 26. Juni 2022 (Urk. 9/2) reicht die Gesuchstellerin erstmals im Be- schwerdeverfahren ein. Diese sowie die dazu aufgestellten Behauptungen sind auf- grund des umfassenden Novenverbots im Beschwerdeverfahren (vgl. Art. 326 Abs. 1 ZPO und oben E. 2.2) nicht mehr zu berücksichtigen. 3.4. Wie die Vorinstanz zutreffend ausführte, setzt die Erteilung der Rechtsöffnung unter anderem die Identität zwischen dem Betreibenden und dem aus dem Titel berechtigten bzw. auf dem Titel genannten Gläubiger (vgl. BGE 141 I 97 E. 5.2 mit Hinweis auf BGE 139 III 444 E. 4.1.1; BSK SchKG-Staehelin, Art. 80 N 29 ff.; Stü- cheli, Die Rechtsöffnung, Zürich 2000, S. 169 ff.). Die Identität zwischen Gläubiger und Betreibendem (und Rechtsöffnungsersuchendem) bezieht sich dabei nicht auf die materielle Berechtigung an der Forderung, sondern einzig auf die Berechtigung des Betreibenden aus dem Rechtsöffnungstitel. Im betreibungs- resp. rechtsöff-</w:t>
      </w:r>
    </w:p>
    <w:p>
      <w:r>
        <w:t>- 7 - nungsrechtlichen Sinne aktivlegitimiert ist somit nicht der wirkliche (materiellrecht- liche), sondern ausschliesslich der (formal) durch den Titel ausgewiesene Gläubi- ger (oder sein urkundlich nachgewiesener Rechtsnachfolger), d.h. diejenige Per- son, welcher die in Betreibung gesetzte Forderung im Rechtsöffnungstitel zuge- sprochen wurde (ZR 121 [2022] Nr. 39, S. 149). 3.5. Als Rechtsöffnungstitel reichte die Gesuchstellerin die vom Gesuchsgegner unterzeichnete Einverständniserklärung vom 23. Juni 2022 ein, in welcher sich der Gesuchsgegner einverstanden erklärte, die Behandlungskosten von Fr. 3'200.– zu bezahlen (Urk. 4/15). Auf der ersten Seite der Einverständniserklärung wird oben rechts "Dr. C._____'s Chirurgie AG, D._____-strasse 1, CH-E._____" aufgeführt (Urk. 4/15). Weiter wurde eine Abtretungsbescheinigung eingereicht, welche von der "Dr. C._____'s Chirurgie AG" – bzw. dem für diese handelnd Dr. med. C._____ – unterzeichnet ist. Darin wird festgehalten, dass "Die Praxis Dr. med. C._____, D._____-strasse 1, E._____" erkläre, am 27. Juni 2022 die Forderung gegenüber dem Schuldner (dem Gesuchsgegner) mit allen Rechten und Pflichten an die Ge- suchstellerin abgetreten und den Forderungsbetrag erhalten zu haben (Urk. 4/14). Der vorinstanzlichen Auffassung, wonach nicht restlos klar sei, wer der Zedent der Forderung sei, kann nicht gefolgt werden. Zwar ist es etwas missverständlich, wenn zu Beginn aufgeführt wird, dass "Die Praxis, Dr. med. C._____, D._____-strasse 1, E._____" die Forderung abgetreten habe, bei der Unterschrift wird jedoch klar an- gegeben, dass die Zedentin die "Dr. C._____'s Chirurgie AG" ist und es wurde auch deren Stempel angebracht (Urk. 4/14). Entsprechend ist mit der Praxis die Aktien- gesellschaft und nicht die natürliche Person, Dr. med. C._____ gemeint. Weiter ergibt sich aus der Abtretungsbescheinigung, dass die Forderung am 27. Juni 2022 abgetreten wurde (Urk. 4/14). Entgegen dem vorinstanzlichen Ent- scheid besteht damit keine Unklarheit darüber, ob die Abtretung vor Zustellung des Zahlungsbefehls am 6. Juni 2024 erfolgte. 3.6. Die Beschwerde erweist sich damit als begründet, weshalb sie gutzuheissen ist. Die Vorinstanz hat den Gesuchsgegner zum Rechtsöffnungsgesuch des Ge- suchstellers nicht angehört (vgl. Urk. 8 E. 1). Das Verfahren wurde nicht zu Ende geführt. Die Vervollständigung des Sachverhalts kann aufgrund des umfassenden</w:t>
      </w:r>
    </w:p>
    <w:p>
      <w:r>
        <w:t>- 8 - Novenverbots im Beschwerdeverfahren nicht nachgeholt werden (vgl. Art. 326 Abs. 1 ZPO). Eine Heilung der Gehörsverletzung fällt damit ausser Betracht, wes- halb das Verfahren nicht zur Spruchreife geführt werden kann. Entsprechend ist das Verfahren an die Vorinstanz zurückzuweisen. Sie hat das Verfahren fortzuset- zen und einen neuen Entscheid zu fällen (vgl. Art. 327 Abs. 3 lit. a ZPO). 4. Der Streitwert des Beschwerdeverfahrens beträgt Fr. 2'938.15. Die zweitin- stanzliche Entscheidgebühr ist in Anwendung von Art. 48 i.V.m. Art. 61 Abs. 1 GebV SchKG auf Fr. 450.– festzusetzen. Es ist davon Vormerk zu nehmen, dass die Gesuchstellerin einen Kostenvorschuss von Fr. 450.– geleistet hat (Urk. 14). Die Verteilung der zweitinstanzlichen Gerichtskosten sowie der Ent- scheid über eine allfällige Parteientschädigung bleibt dem neuen Entscheid der Vorinstanz vorbehalten (Art. 104 Abs. 4 ZPO; BSK ZPO-Rüegg/Rüegg, Art. 104 N 7).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