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RT250057 vom 9. April 2025</w:t>
      </w:r>
    </w:p>
    <w:p>
      <w:r>
        <w:t>ZH Obergericht, 2025-04-09, DE</w:t>
      </w:r>
    </w:p>
    <w:p>
      <w:r>
        <w:rPr>
          <w:b/>
        </w:rPr>
        <w:t xml:space="preserve">Quelle: </w:t>
      </w:r>
      <w:r>
        <w:t>https://mcp.opencaselaw.ch/entscheid/zh_obergericht_RT250057</w:t>
      </w:r>
    </w:p>
    <w:p>
      <w:r>
        <w:t>FR: ZH_OBERGERICHT RT250057 du 9 avril 2025</w:t>
      </w:r>
    </w:p>
    <w:p>
      <w:r>
        <w:t>IT: ZH_OBERGERICHT RT250057 del 9 aprile 2025</w:t>
      </w:r>
    </w:p>
    <w:p>
      <w:pPr>
        <w:pStyle w:val="Heading2"/>
      </w:pPr>
      <w:r>
        <w:t>Erwägungen</w:t>
      </w:r>
    </w:p>
    <w:p>
      <w:r>
        <w:rPr>
          <w:b/>
        </w:rPr>
        <w:t>E. 1</w:t>
      </w:r>
    </w:p>
    <w:p>
      <w:r>
        <w:t>Mit Verfügung vom 19. Februar 2025 setzte die Vorinstanz der Gesuchs- gegnerin und Beschwerdeführerin (fortan Gesuchsgegnerin) Frist zur Stellung- nahme zum Rechtsöffnungsbegehren des Gesuchstellers und Beschwerdegeg- ners (fortan Gesuchsteller) an (Urk. 2). Dagegen erhob die Gesuchsgegnerin mit Eingabe vom 28. März 2025 (Datum des Poststempels: 30. März 2025) Be- schwerde (Urk. 1). Da sich die Beschwerde sogleich als offensichtlich unzulässig erweist, kann auf weitere Prozesshandlungen verzichtet werden (Art. 322 Abs. 1 ZPO).</w:t>
      </w:r>
    </w:p>
    <w:p>
      <w:r>
        <w:rPr>
          <w:b/>
        </w:rPr>
        <w:t>E. 2</w:t>
      </w:r>
    </w:p>
    <w:p>
      <w:r>
        <w:t>Der angefochtene Entscheid, mit welchem die Gesuchsgegnerin zur Stellungnahme aufgefordert wurde, stellt eine prozessleitende Verfügung dar, ge- gen welche nur in den vom Gesetz bestimmten Fällen oder im Falle eines nicht leicht wiedergutzumachenden Nachteils Beschwerde geführt werden kann (Art. 319 lit. b ZPO). Ein vom Gesetz bestimmter Fall liegt nicht vor. Die Gesuchsgegnerin wendet sich mit der Beschwerde gegen die betriebene Forderung und macht deren Nichtigkeit sowie die Nichtigkeit der angefochtenen Verfügung, des Zahlungsbe- fehls sowie der vom Gesuchsteller eingereichten Unterlagen geltend (Urk. 1). Da- mit tut die Gesuchsgegnerin indes keinen nicht leicht wiedergutzumachenden Nachteil dar, der ihr durch die Fristansetzung zur Stellungnahme erwachsen könnte respektive sich nicht durch einen für sie günstigen Endentscheid beheben liesse. Auf die Beschwerde ist somit nicht einzutreten. Mangels Zuständigkeit ist auch auf das Ausstandsgesuch (Urk.1 S. 2) gegen die Vorderrichterin nicht einzutreten.</w:t>
      </w:r>
    </w:p>
    <w:p>
      <w:r>
        <w:rPr>
          <w:b/>
        </w:rPr>
        <w:t>E. 3</w:t>
      </w:r>
    </w:p>
    <w:p>
      <w:r>
        <w:t>Für das Beschwerdeverfahren beträgt der Streitwert Fr. 5'434.80. Die zweitinstanzliche Entscheidgebühr ist in Anwendung von Art. 48 i.V.m. Art. 61 Abs. 1 GebV SchKG auf Fr. 450.– festzusetzen und ausgangsgemäss der Ge- suchsgegnerin aufzuerlegen (Art. 106 Abs. 1 ZPO). Parteientschädigungen sind keine zuzusprechen, da die Gesuchsgegnerin unterliegt und dem Gesuchsteller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