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RT250046 vom 26. März 2025</w:t>
      </w:r>
    </w:p>
    <w:p>
      <w:r>
        <w:t>ZH Obergericht, 2025-03-26, DE</w:t>
      </w:r>
    </w:p>
    <w:p>
      <w:r>
        <w:rPr>
          <w:b/>
        </w:rPr>
        <w:t xml:space="preserve">Quelle: </w:t>
      </w:r>
      <w:r>
        <w:t>https://mcp.opencaselaw.ch/entscheid/zh_obergericht_RT250046</w:t>
      </w:r>
    </w:p>
    <w:p>
      <w:r>
        <w:t>FR: ZH_OBERGERICHT RT250046 du 26 mars 2025</w:t>
      </w:r>
    </w:p>
    <w:p>
      <w:r>
        <w:t>IT: ZH_OBERGERICHT RT250046 del 26 marzo 2025</w:t>
      </w:r>
    </w:p>
    <w:p>
      <w:pPr>
        <w:pStyle w:val="Heading2"/>
      </w:pPr>
      <w:r>
        <w:t>Erwägungen</w:t>
      </w:r>
    </w:p>
    <w:p>
      <w:r>
        <w:rPr>
          <w:b/>
        </w:rPr>
        <w:t>E. 2</w:t>
      </w:r>
    </w:p>
    <w:p>
      <w:r>
        <w:t>Da die Vorinstanz die Vertretungsbeiständin mit Verfügung vom 10. März 2025 als Vertreterin des Gesuchsgegners im Verfahren aufgenommen und die Frist zur Stellungnahme neu angesetzt hat (Urk. 6/9), ist die Beschwerde gegen Dispositiv-Ziffer 2 der Verfügung vom 27. Februar 2025 als gegenstandslos geworden abzuschreiben (Art. 242 ZPO). Anzumerken ist, dass die Handlungsfä- higkeit des Gesuchsgegners im Rahmen der Vertretungsbeistandschaft nicht ein- geschränkt wurde (Urk. 5), weshalb die Zustellung der Verfügung vom 27. Februar 2025 an ihn persönlich gültig war. Die Anordnung des schriftlichen Verfahrens ge- mäss Dispositiv-Ziffer 1 der Verfügung vom 27. Februar 2025 stellt sodann eine prozessleitende Verfügung dar, gegen welche nur in den vom Gesetz bestimmten Fällen oder im Falle eines nicht leicht wiedergutzumachenden Nachteils Be-</w:t>
      </w:r>
    </w:p>
    <w:p>
      <w:r>
        <w:t>- 3 - schwerde geführt werden kann (Art. 319 lit. b ZPO), worauf die Vorinstanz in der Rechtsmittelbelehrung ausdrücklich hinwies (Urk. 2 S. 3). Ein vom Gesetz be- stimmter Fall liegt nicht vor. Der Gesuchsgegner wendet sich mit seinen Ausfüh- rungen gegen die Forderung und erhebt Einwendungen gegen deren Rechtmäs- sigkeit (Urk. 1). Damit tut er keinen nicht leicht wiedergutzumachenden Nachteil dar, der ihm durch die Durchführung des schriftlichen Verfahren erwachsen könnte respektive sich nicht durch einen für ihn günstigen Endentscheid beheben liesse. Auf die Beschwerde gegen Dispositiv-Ziffer 1 ist somit aus den genannten Gründen nicht einzutreten.</w:t>
      </w:r>
    </w:p>
    <w:p>
      <w:r>
        <w:rPr>
          <w:b/>
        </w:rPr>
        <w:t>E. 3</w:t>
      </w:r>
    </w:p>
    <w:p>
      <w:r>
        <w:t>Für das Beschwerdeverfahren beträgt der Streitwert Fr. 1'123.–. Die zweitinstanzliche Entscheidgebühr ist in Anwendung von Art. 48 i.V.m. Art. 61 Abs. 1 GebV SchKG auf Fr. 300.– festzusetzen und ausgangsgemäss dem Ge- suchsgegner aufzuerlegen (Art. 106 Abs. 1, Art. 107 Abs. 1 lit. e ZPO). Parteient- schädigungen sind keine zuzusprechen, da der Gesuchsgegner unterliegt und dem Gesuchsteller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