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RT250031 vom 19. Mai 2025</w:t>
      </w:r>
    </w:p>
    <w:p>
      <w:r>
        <w:t>ZH Obergericht, 2025-05-19, DE</w:t>
      </w:r>
    </w:p>
    <w:p>
      <w:r>
        <w:rPr>
          <w:b/>
        </w:rPr>
        <w:t xml:space="preserve">Quelle: </w:t>
      </w:r>
      <w:r>
        <w:t>https://mcp.opencaselaw.ch/entscheid/zh_obergericht_RT250031</w:t>
      </w:r>
    </w:p>
    <w:p>
      <w:r>
        <w:t>FR: ZH_OBERGERICHT RT250031 du 19 mai 2025</w:t>
      </w:r>
    </w:p>
    <w:p>
      <w:r>
        <w:t>IT: ZH_OBERGERICHT RT250031 del 19 maggio 2025</w:t>
      </w:r>
    </w:p>
    <w:p>
      <w:pPr>
        <w:pStyle w:val="Heading2"/>
      </w:pPr>
      <w:r>
        <w:t>Erwägungen</w:t>
      </w:r>
    </w:p>
    <w:p>
      <w:r>
        <w:rPr>
          <w:b/>
        </w:rPr>
        <w:t>E. 1</w:t>
      </w:r>
    </w:p>
    <w:p>
      <w:r>
        <w:t>Das obergerichtliche Verfahren RT250031-O wird abgeschrieben.</w:t>
      </w:r>
    </w:p>
    <w:p>
      <w:r>
        <w:rPr>
          <w:b/>
        </w:rPr>
        <w:t>E. 2</w:t>
      </w:r>
    </w:p>
    <w:p>
      <w:r>
        <w:t>Die obergerichtliche Spruchgebühr wird auf Fr. 100.– festgesetzt.</w:t>
      </w:r>
    </w:p>
    <w:p>
      <w:r>
        <w:rPr>
          <w:b/>
        </w:rPr>
        <w:t>E. 3</w:t>
      </w:r>
    </w:p>
    <w:p>
      <w:r>
        <w:t>Die Kosten für das obergerichtliche Verfahren werden dem Gesuchsgegner auferlegt.</w:t>
      </w:r>
    </w:p>
    <w:p>
      <w:r>
        <w:t>- 3 -</w:t>
      </w:r>
    </w:p>
    <w:p>
      <w:r>
        <w:rPr>
          <w:b/>
        </w:rPr>
        <w:t>E. 4</w:t>
      </w:r>
    </w:p>
    <w:p>
      <w:r>
        <w:t>Für das obergerichtliche Verfahren werden keine Parteientschädigungen zu- gesprochen.</w:t>
      </w:r>
    </w:p>
    <w:p>
      <w:r>
        <w:rPr>
          <w:b/>
        </w:rPr>
        <w:t>E. 5</w:t>
      </w:r>
    </w:p>
    <w:p>
      <w:r>
        <w:t>Schriftliche Mitteilung an die Parteien und die Vorinstanz, je gegen Emp- 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we- niger als Fr. 30'000.–. Die Beschwerde an das Bundesgericht hat keine aufschiebende Wirkung. Hinsichtlich des Fristenlaufs gelten die Art. 44 ff. BGG. Zürich, 19. Mai 2025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