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RT250018 vom 12. Februar 2025</w:t>
      </w:r>
    </w:p>
    <w:p>
      <w:r>
        <w:t>ZH Obergericht, 2025-02-12, DE</w:t>
      </w:r>
    </w:p>
    <w:p>
      <w:r>
        <w:rPr>
          <w:b/>
        </w:rPr>
        <w:t xml:space="preserve">Quelle: </w:t>
      </w:r>
      <w:r>
        <w:t>https://mcp.opencaselaw.ch/entscheid/zh_obergericht_RT250018</w:t>
      </w:r>
    </w:p>
    <w:p>
      <w:r>
        <w:t>FR: ZH_OBERGERICHT RT250018 du 12 février 2025</w:t>
      </w:r>
    </w:p>
    <w:p>
      <w:r>
        <w:t>IT: ZH_OBERGERICHT RT250018 del 12 febbraio 2025</w:t>
      </w:r>
    </w:p>
    <w:p>
      <w:pPr>
        <w:pStyle w:val="Heading2"/>
      </w:pPr>
      <w:r>
        <w:t>Erwägungen</w:t>
      </w:r>
    </w:p>
    <w:p>
      <w:r>
        <w:rPr>
          <w:b/>
        </w:rPr>
        <w:t>E. 2</w:t>
      </w:r>
    </w:p>
    <w:p>
      <w:r>
        <w:t>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w:t>
      </w:r>
    </w:p>
    <w:p>
      <w:r>
        <w:t>- 3 -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w:t>
      </w:r>
    </w:p>
    <w:p>
      <w:r>
        <w:rPr>
          <w:b/>
        </w:rPr>
        <w:t>E. 3</w:t>
      </w:r>
    </w:p>
    <w:p>
      <w:r>
        <w:t>Die Vorinstanz erwog im Wesentlichen, dass in der als Rechtsöffnungstitel eingereichten Schlussrechnung das steuerbare Einkommen des Gesuchsgegners mit Fr. 77'600.– und das steuerbare Vermögen mit Fr. 8'000.– angegeben worden seien, wobei festgehalten worden sei, dass der anwendbare Steuertarif der Grund- tarif sei (act. 2/2 S. 1). Gestützt auf die so festgelegte Steuerbemessungsgrundlage und den anwendbaren Steuersatz sei die vom Gesuchsgegner zu bezahlende Staats- und Gemeindesteuer für die Steuerperiode des Jahres 2022 auf Fr. 9'608.95 festgesetzt worden. Die Gesuchsteller würden mittels Rechtskraftbe- scheinigung belegen, dass die Schlussrechnung in Rechtskraft erwachsen und da- mit vollstreckbar geworden sei, womit ein definitiver Rechtsöffnungstitel im Sinne von Art. 80 SchKG vorliege. Zudem bejahte die Vorinstanz das Vorliegen der von Amtes wegen zu prüfenden Identitäten (Gläubiger-, Schuldner- und Forderungsi- dentität). Zu den Einwendungen des Gesuchgegners erwog die Vorinstanz, soweit diese seine finanzielle Leistungsfähigkeit beträfen, würden sie den Rechtsöffnungs- titel nicht im Sinne von Art. 81 SchKG zu entkräften vermögen und seien im Rah- men des Rechtsöffnungsverfahrens unbeachtlich. Weiter bestreite der Gesuchs- gegner die Steuerrechnung nicht per se, sondern sei der Ansicht, dass die Steuer- behörde unrechtlich handle und diverse Menschenrechte gemäss Bundesverfas- sung der Schweizer Eidgenossenschaft verletze. Sei der Gesuchsgegner der Mei- nung gewesen, dass die Schlussrechnung für die Staats- und Gemeindesteuern des Jahres 2022 inhaltlich unrichtig sei, so wäre es an ihm gelegen, dies mit Erklä- rung des in der Rechtmittelbelehrung der Schlussrechnung genannten Rechtsmit- tels der Einsprache geltend zu machen, was er aber – wie die Rechtskraftbeschei- nigung belege – unterlassen habe, wodurch die Schlussrechnung in Rechtskraft erwachsen und vollstreckbar geworden sei. Ferner seien der Ausgleichszins aus- gewiesen und die Verzugszinsen richtig berechnet, weshalb auch das dahinge-</w:t>
      </w:r>
    </w:p>
    <w:p>
      <w:r>
        <w:t>- 4 - hende Rechtsöffnungsbegehren der Gesuchsteller gutzuheissen sei (Urk. 9 S. 3 ff.).</w:t>
      </w:r>
    </w:p>
    <w:p>
      <w:r>
        <w:rPr>
          <w:b/>
        </w:rPr>
        <w:t>E. 4</w:t>
      </w:r>
    </w:p>
    <w:p>
      <w:r>
        <w:t>Der Gesuchsgegner setzt sich nicht mit den vorinstanzlichen Erwägungen auseinander und zeigt nicht auf, inwiefern der angefochtene Entscheid fehlerhaft sein soll. Stattdessen begnügt er sich mit allgemeinen Ausführungen zur morali- schen und ethischen Verantwortung des Staates sowie zur Unverhandelbarkeit von Grundrechten (Urk. 8). Damit erfüllt der Gesuchsgegner die Begründungsanforde- rungen an eine Beschwerde nicht (siehe Erwägung 2 vorstehend), weshalb auf die Beschwerde nicht einzutreten ist. 5.1. Die zweitinstanzliche Entscheidgebühr ist in Anwendung von Art. 48 i.V.m. Art. 61 Abs. 1 GebV SchKG auf Fr. 300.– festzusetzen. Die Gerichtskosten sind ausgangsgemäss dem Gesuchsgegner aufzuerlegen (Art. 106 Abs. 1 ZPO). 5.2. Für das Beschwerdeverfahren sind keine Parteientschädigungen zuzu- sprechen, dem Gesuchsgegner zufolge seines Unterliegens, den Gesuchstellern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