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RT250002 vom 23. Januar 2025</w:t>
      </w:r>
    </w:p>
    <w:p>
      <w:r>
        <w:t>ZH Obergericht, 2025-01-23, DE</w:t>
      </w:r>
    </w:p>
    <w:p>
      <w:r>
        <w:rPr>
          <w:b/>
        </w:rPr>
        <w:t xml:space="preserve">Quelle: </w:t>
      </w:r>
      <w:r>
        <w:t>https://mcp.opencaselaw.ch/entscheid/zh_obergericht_RT250002</w:t>
      </w:r>
    </w:p>
    <w:p>
      <w:r>
        <w:t>FR: ZH_OBERGERICHT RT250002 du 23 janvier 2025</w:t>
      </w:r>
    </w:p>
    <w:p>
      <w:r>
        <w:t>IT: ZH_OBERGERICHT RT250002 del 23 gennaio 2025</w:t>
      </w:r>
    </w:p>
    <w:p>
      <w:pPr>
        <w:pStyle w:val="Heading2"/>
      </w:pPr>
      <w:r>
        <w:t>Erwägungen</w:t>
      </w:r>
    </w:p>
    <w:p>
      <w:r>
        <w:rPr>
          <w:b/>
        </w:rPr>
        <w:t>E. 1</w:t>
      </w:r>
    </w:p>
    <w:p>
      <w:r>
        <w:t>Der Entscheid des Bezirksgerichts Dietikon vom 19. November 2024 sei aufzuheben.</w:t>
      </w:r>
    </w:p>
    <w:p>
      <w:r>
        <w:rPr>
          <w:b/>
        </w:rPr>
        <w:t>E. 1.3</w:t>
      </w:r>
    </w:p>
    <w:p>
      <w:r>
        <w:t>Die vorinstanzlichen Akten wurden beigezogen (Urk. 1–28). Da sich die Be- schwerde – wie nachfolgend aufgezeigt wird – sogleich als offensichtlich unbegrün- det erweist, kann auf weitere Prozesshandlungen verzichtet werden (Art. 322 Abs. 1 ZPO).</w:t>
      </w:r>
    </w:p>
    <w:p>
      <w:r>
        <w:rPr>
          <w:b/>
        </w:rPr>
        <w:t>E. 2</w:t>
      </w:r>
    </w:p>
    <w:p>
      <w:r>
        <w:t>Die Beweise (Rechnung und Lieferschein) seien anzuerkennen und es sei ihr die provisorische Rechtsöffnung für Fr. 40'000.– zzgl. Zins von 5 % gemäss Art. 104 OR zu erteilen.</w:t>
      </w:r>
    </w:p>
    <w:p>
      <w:r>
        <w:rPr>
          <w:b/>
        </w:rPr>
        <w:t>E. 2.1</w:t>
      </w:r>
    </w:p>
    <w:p>
      <w:r>
        <w:t>Die Gesuchstellerin hat ihr Rechtsmittel als Berufung und Einspruch bezeich- net (Urk. 29/1). Zulässiges Rechtsmittel gegen einen Entscheid, mit welchem auf</w:t>
      </w:r>
    </w:p>
    <w:p>
      <w:r>
        <w:t>- 3 - ein Rechtsöffnungsgesuch nicht eingetreten wird, ist – wie von der Vorinstanz kor- rekt belehrt (Urk. 30 Dispositivziffer 6) – die Beschwerde (Art. 319 lit. a i.V.m. Art. 309 lit. b Ziff. 3 ZPO). Die Rechtsmittelschrift der Gesuchstellerin ist daher als Beschwerde entgegenzunehmen.</w:t>
      </w:r>
    </w:p>
    <w:p>
      <w:r>
        <w:rPr>
          <w:b/>
        </w:rPr>
        <w:t>E. 2.2</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w:t>
      </w:r>
    </w:p>
    <w:p>
      <w:r>
        <w:rPr>
          <w:b/>
        </w:rPr>
        <w:t>E. 2.3</w:t>
      </w:r>
    </w:p>
    <w:p>
      <w:r>
        <w:t>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vgl. aber immerhin auch BGE 139 III 466 E. 3.4 und BGer 4A_51/2015 vom 20. April 2015 E. 4.5.1; zum Ganzen ferner ZK ZPO-Freiburghaus/Afheldt, Art. 326 N 4 f.; DIKE-Komm ZPO-Steininger, Art. 326 N 1 ff.). Aus diesem Grund ist der von der Gesuchstellerin erstmals im vor- liegenden Beschwerdeverfahren eingereichte Zahlungsbefehl (Urk. 31/3) nicht mehr zu berücksichtigen.</w:t>
      </w:r>
    </w:p>
    <w:p>
      <w:r>
        <w:rPr>
          <w:b/>
        </w:rPr>
        <w:t>E. 3</w:t>
      </w:r>
    </w:p>
    <w:p>
      <w:r>
        <w:t>Es sei der Beschwerdegegner zu verpflichten, ihr die Gerichtskos- ten, die Anwaltskosten von Fr. 4'200.– sowie die missbräuchlich auferlegten Dolmetscherkosten zu erstatten.</w:t>
      </w:r>
    </w:p>
    <w:p>
      <w:r>
        <w:rPr>
          <w:b/>
        </w:rPr>
        <w:t>E. 3.1</w:t>
      </w:r>
    </w:p>
    <w:p>
      <w:r>
        <w:t>Die Vorinstanz erwog, Prozessvoraussetzung für die Erteilung der Rechtsöff- nung sei das Vorliegen einer gültigen Betreibung. Der Zahlungsbefehl bilde dabei die Grundlage der Betreibung. Ohne Zahlungsbefehl könne das Gericht weder sei- ner Pflicht nachkommen zu prüfen, ob die Forderung im Betreibungsbegehren und im Zahlungsbefehl genau bezeichnet sei, noch ob die Identität zwischen der Ge-</w:t>
      </w:r>
    </w:p>
    <w:p>
      <w:r>
        <w:t>- 4 - suchstellerin und Betreibenden, dem Schuldner und Betriebenen und der in Betrei- bung gesetzten und der im Rechtsöffnungstitel verurkundeten Forderung gegeben sei. Demnach sei für die Prüfung der Prozessvoraussetzungen das Vorhandensein des Zahlungsbefehls notwendig (Urk. 30 E. 2.2). Die Gesuchstellerin habe es un- terlassen, den Zahlungsbefehl als Beilage zu ihrem Gesuch einzureichen. Der Auf- forderung gemäss Schreiben vom 17. Juli 2024 sei die Gesuchstellerin nicht nach- gekommen. Da ohne Vorliegen des Zahlungsbefehls das Vorliegen einer gültigen Betreibung – mithin eine Prozessvoraussetzung – nicht überprüft werden könne, sei auf das Rechtsöffnungsbegehren nicht einzutreten (Urk. 30 E. 2.3)</w:t>
      </w:r>
    </w:p>
    <w:p>
      <w:r>
        <w:rPr>
          <w:b/>
        </w:rPr>
        <w:t>E. 3.2</w:t>
      </w:r>
    </w:p>
    <w:p>
      <w:r>
        <w:t>Die Gesuchstellerin rügt, es liege ein Widerspruch bzw. offensichtlicher Tat- sachenirrtum vor, wenn die Vorinstanz über ihr Rechtsöffnungsgesuch nicht ent- scheide, weil der Zahlungsbefehl nicht vorgelegt worden sei, obwohl im Entscheid die Betreibungsnummer … ausdrücklich erwähne werde. Diese Erwähnung be- weise, dass sich der Zahlungsbefehl in den Akten befinde. Es liege eine Verletzung von Art. 29 Abs. 2 BV vor, der verlange, dass jede gerichtliche Entscheidung klar begründet und kohärent sein müsse (Urk. 29/1). Damit verkennt die Gesuchstellerin, dass die Vorinstanz einzig Kenntnis von der Betreibungsnummer … (irrtümlicherweise als …* aufgeführt, Urk. 30 S. 2) hatte, weil die Gesuchstellerin diese in ihrem Rechtsöffnungsgesuch ausdrücklich nannte (Urk. 1). Der Zahlungsbefehl befindet sich nicht in den vorinstanzlichen Akten. Die Vorinstanz forderte die Gesuchstellerin mit Schreiben vom 17. Juli 2024 auf, den Zahlungsbefehl bis spätestens zur Verhandlung einzureichen (Urk. 7), was von der Gesuchstellerin nicht bestritten wird. Da sie dieser Aufforderung nicht nachkam, trat die Vorinstanz zu Recht auf das Rechtsöffnungsgesuch nicht ein. Wie bereits er- wähnt (oben E. 2.3), kann dieses Versäumnis durch Einreichung des Zahlungsbe- fehls im vorliegenden Beschwerdeverfahren nicht mehr nachgeholt werden. Vor diesem Hintergrund konnte die Vorinstanz auch auf Ausführungen zu den Vor- bringen der Parteien in der Sache verzichten. Eine Verletzung der Begründungs- pflicht als Ausfluss des rechtlichen Gehörs oder des Rechts auf Beweis liegt entge- gen der Ansicht der Gesuchstellerin (Urk. 29/1) nicht vor. Entsprechend braucht auch vorliegend nicht weiter auf ihre Vorbringen in der Beschwerdeschrift zu den</w:t>
      </w:r>
    </w:p>
    <w:p>
      <w:r>
        <w:t>- 5 - angeblichen Beweismitteln (unterschriebene Rechnung und unterschriebener Lie- ferschein) der betriebenen Forderung (Urk. 29/1) eingegangen zu werden.</w:t>
      </w:r>
    </w:p>
    <w:p>
      <w:r>
        <w:rPr>
          <w:b/>
        </w:rPr>
        <w:t>E. 3.3</w:t>
      </w:r>
    </w:p>
    <w:p>
      <w:r>
        <w:t>Die Gesuchstellerin rügt weiter eine Verletzung von Art. 8 BV, indem die Vor- instanz sich geweigert habe, Schriftsätze in französischer Sprache zu akzeptieren, obwohl Französisch eine Amtssprache sei. Ferner stelle die Weigerung des Ge- richts, der Gesellschaft zu erlauben, die französische Sprache zu verwenden, einen Verstoss gegen Art. 6 EMRK und eine Verletzung des Grundsatzes des fairen Zu- gangs zur Justiz dar (Urk. 29/1). Diesbezüglich ist die Gesuchstellerin darauf hinzuweisen, dass gemäss Art. 129 ZPO das Verfahren in der Amtssprache des zuständigen Kantons geführt wird, die im Kanton Zürich ausschliesslich Deutsch ist (vgl. Art. 48 der Verfassung des Kan- tons Zürich). Eingaben sind somit in deutscher Sprache einzureichen und das Ge- richt hat seine Entscheide und seine Korrespondenz in Deutsch zu verfassen.</w:t>
      </w:r>
    </w:p>
    <w:p>
      <w:r>
        <w:rPr>
          <w:b/>
        </w:rPr>
        <w:t>E. 3.4</w:t>
      </w:r>
    </w:p>
    <w:p>
      <w:r>
        <w:t>Die Gesuchstellerin moniert, die Vorinstanz habe von ihr verlangt, die Kosten für einen Dolmetscher zu übernehmen (Urk. 29/1). Zutreffend ist zwar, das mit der Vorladung vom 9. September 2024 darauf hinge- wiesen wurde, dass wer ungenügend Deutsch spreche, einen Übersetzer zur Ver- handlung mitzubringen oder sich durch eine deutschsprachige Person mit schriftli- cher Vollmacht vertreten zu lassen habe (Urk. 16 S. 2). Nachdem C._____, der für die Gesuchstellerin zur Verhandlung vom 1. Oktober 2024 erschienen war, erklärt hatte, der deutschen Sprache nicht mächtig zu sein, wurde die Verhandlung jedoch abgebrochen und am 12. November 2024 fortgesetzt, wobei das Gericht für diese zweite Verhandlung eine Dolmetscherin aufgeboten hatte (Prot. I S. 3 f.). Die Kos- ten für die Übersetzung sind gemäss Art. 95 Abs. 2 lit. d ZPO Teil der Gerichtskos- ten, die gemäss Art. 95 Abs. 1 lit. a i.V.m. Art. 106 ZPO nach Obsiegen und Unter- liegen verteilt werden. Da die Gesuchstellerin vollständig unterlag, verpflichtete die Vorinstanz diese zu Recht auch zur Tragung der Dolmetscherkosten von Fr. 165.– (Urk. 30 E. 3).</w:t>
      </w:r>
    </w:p>
    <w:p>
      <w:r>
        <w:t>- 6 -</w:t>
      </w:r>
    </w:p>
    <w:p>
      <w:r>
        <w:rPr>
          <w:b/>
        </w:rPr>
        <w:t>E. 3.5</w:t>
      </w:r>
    </w:p>
    <w:p>
      <w:r>
        <w:t>Weiter wehrt sich die Gesuchstellerin gegen die dem Gesuchsgegner zuge- sprochene Parteientschädigung von Fr. 4'200.– (inkl. MwSt.). Angesichts der Ein- fachheit des Falles sei diese unverhältnismässig hoch. Auch rechtfertige sich keine derart hohe Entschädigung, da der Gesuchsgegner bösgläubig sei und das Verfah- ren missbraucht habe, indem er sich geweigert habe, eine Forderung zu beglei- chen, die auf einer unterschriebenen Rechnung und einem Lieferschein beruhe (Urk. 29/1). Im Kanton Zürich richtet sich die Höhe der Entschädigung für die anwaltliche Parteivertretung nach den Ansätzen der kantonalen Verordnung über die Anwaltsgebühren (AnwGebV) des Obergerichts vom 8. September 2010 (§ 1 Abs. 1 AnwGebV). Sie setzt sich aus der Grundgebühr, etwaigen Zuschlägen und den notwendigen Auslagen zusammen (§ 1 Abs. 2 und § 11 Abs. 1–3 AnwGebV). Grundlage für die Festsetzung der Gebühr bilden im Zivilverfahren der Streitwert bzw. Interessewert, die Verantwortung und der notwendige Zeitaufwand der Anwältin oder des Anwalts sowie die Schwierigkeit des Falles (§ 2 Abs. 1 lit. a, c, d und e AnwGebV). Bei vermögensrechtlichen Streitigkeiten ist die Gebühr primär vom Streitwert abhängig und im Einzelfall je nach der Verantwortung und dem Zeitaufwand des Anwalts und der Schwierigkeit des Falls nach oben oder unten anzupassen (§ 2 und § 4 AnwGebV). Beim vorliegenden Streitwert von Fr. 37'695.– beträgt die Grundgebühr gemäss § 4 Abs. 1 AnwGebV Fr. 5'846.–. Inwiefern vorliegend von einer geringen Komplexität auszugehen sei, zeigt die Gesuchstellerin nicht auf und dies ist auch nicht ersicht- lich. Sodann bildet entgegen ihrer Ansicht die Motivation für die Nichtbezahlung der Forderung kein Bemessungskriterium für die Höhe der Parteientschädigung. In An- wendung von § 9 AnwGebV (Ermässigung im summarischen Verfahren) beträgt die mit der Begründung der Stellungnahme zum Rechtsöffnungsgesuch (Urk. 20) verdiente Gebühr demnach Fr. 1'169.– bis Fr. 3'897.– (vgl. § 11 Abs. 1 AnwGebV). Erhöhend berücksichtigte die Vorinstanz, dass der Gesuchsgegner mit seiner an- waltlichen Vertretung wegen des Versäumnisses der Gesuchstellerin, selbst um einen Dolmetscher besorgt zu sein resp. zumindest dem Gericht vorab mitzuteilen, dass ein solcher benötigt werde (vgl. den Hinweis in der Vorladung), zwei Mal zur</w:t>
      </w:r>
    </w:p>
    <w:p>
      <w:r>
        <w:t>- 7 - Hauptverhandlung habe erscheinen müssen. Auch dies ist nicht zu beanstanden. Im Ergebnis erweist sich eine Entschädigung von Fr. 3'885.20 zzgl. 8.1% MwSt. (Fr. 314.70), mithin insgesamt gerundet Fr. 4'200.–, als angemessen.</w:t>
      </w:r>
    </w:p>
    <w:p>
      <w:r>
        <w:rPr>
          <w:b/>
        </w:rPr>
        <w:t>E. 3.6</w:t>
      </w:r>
    </w:p>
    <w:p>
      <w:r>
        <w:t>Weitere zu berücksichtigende Rügen enthält die Beschwerdeschrift (Urk. 29/1) nicht. Damit erweist sich die Beschwerde der Gesuchstellerin als offen- sichtlich unbegründet, weshalb sie abzuweisen ist.</w:t>
      </w:r>
    </w:p>
    <w:p>
      <w:r>
        <w:rPr>
          <w:b/>
        </w:rPr>
        <w:t>E. 4</w:t>
      </w:r>
    </w:p>
    <w:p>
      <w:r>
        <w:t>Die Entscheidgebühr für das Beschwerdeverfahren ist in Anwendung von Art. 48 i.V.m. Art. 61 Abs. 1 GebV SchKG und ausgehend von einem Streitwert von Fr. 37'695.– auf Fr. 500.– festzusetzen. Die Gerichtskosten sind ausgangsgemäss der Gesuchstellerin aufzuerlegen (Art. 106 Abs. 1 ZPO). Parteientschädigungen sind im Beschwerdeverfahren keine zuzusprechen, der Gesuchstellerin infolge ih- res Unterliegens, dem Gesuchsgegner mangels relevanter Umtriebe (vgl. Art. 95 Abs. 3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