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RT240199 vom 30. Dezember 2024</w:t>
      </w:r>
    </w:p>
    <w:p>
      <w:r>
        <w:t>ZH Obergericht, 2024-12-30, DE</w:t>
      </w:r>
    </w:p>
    <w:p>
      <w:r>
        <w:rPr>
          <w:b/>
        </w:rPr>
        <w:t xml:space="preserve">Quelle: </w:t>
      </w:r>
      <w:r>
        <w:t>https://mcp.opencaselaw.ch/entscheid/zh_obergericht_RT240199</w:t>
      </w:r>
    </w:p>
    <w:p>
      <w:r>
        <w:t>FR: ZH_OBERGERICHT RT240199 du 30 décembre 2024</w:t>
      </w:r>
    </w:p>
    <w:p>
      <w:r>
        <w:t>IT: ZH_OBERGERICHT RT240199 del 30 dicembre 2024</w:t>
      </w:r>
    </w:p>
    <w:p>
      <w:pPr>
        <w:pStyle w:val="Heading2"/>
      </w:pPr>
      <w:r>
        <w:t>Erwägungen</w:t>
      </w:r>
    </w:p>
    <w:p>
      <w:r>
        <w:rPr>
          <w:b/>
        </w:rPr>
        <w:t>E. 15</w:t>
      </w:r>
    </w:p>
    <w:p>
      <w:r>
        <w:t>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t>- 3 - 2.2.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In Analogie zu Art. 99 Abs. 1 BGG vorbe- halten sind immerhin (unechte) Noven, die vorzubringen erst der Entscheid der Vorinstanz Anlass gibt (BGE 139 III 466 E. 3.4; BGer 4A_51/2015 vom 20. April 2015 E. 4.5.1), was in der Beschwerde darzulegen ist (vgl. statt vieler BGE 133 III 393 E. 3; BGer 5A_539/2011 vom 19. Dezember 2011 E. 1.2 [je zu Art. 99 Abs. 1 BGG]; zum Ganzen ferner ZK ZPO-Freiburghaus/Afheldt, Art. 326 N 4 f.; DIKE- Komm ZPO-Steininger, Art. 326 N 1 ff.). 3.1. Die Vorinstanz erwog, gemäss Art. 60 ZPO prüfe das Gericht von Amtes we- gen, ob die Prozessvoraussetzungen nach Art. 59 ZPO gegeben seien, ansonsten auf das Gesuch nicht einzutreten sei (Art. 59 Abs. 1 ZPO). Zu den Prozessvoraus- setzungen zähle unter anderem die Verfahrenslegitimation der Parteien. Zur Ein- leitung des Rechtsöffnungsverfahrens legitimiert sei nur der betreibende Gläubiger bzw. dessen Rechtsnachfolger. Vorliegend habe die Gesuchstellerin das Rechts- öffnungsverfahren eingeleitet. Die gesuchstellende Partei sei jedoch nicht identisch mit den Betreibenden bzw. den Gläubigern in den Betreibungen Nr. 1 und 2. In diesen würden C._____ und A._____ als Gläubiger aufgeführt. Damit fehle der Ge- suchstellerin (allein) die Verfahrenslegitimation, weshalb auf das Gesuch nicht ein- zutreten sei (Urk. 10 S. 2). 3.2. Die Gesuchstellerin macht mit ihrer Beschwerde geltend, der Zahlungsbefehl sei von ihrer damaligen Rechtsschutzversicherung eingereicht worden. Das Rechtsöffnungsgesuch habe sie auf ihren Namen ausgestellt, da ihr Ehemann am tt.mm.2024 leider verstorben sei. Als Beweis reiche sie das Mandat als Willensvoll- streckerin vom Bezirksgericht Baden ein (Urk. 9; Urk. 11). 3.3. Wie die Vorinstanz zutreffend ausführte, leidet das Rechtsöffnungsbegehren an einem prozessrechtlichen Mangel (Verfahrenslegitimation), wenn der Betrei-</w:t>
      </w:r>
    </w:p>
    <w:p>
      <w:r>
        <w:t>- 4 - bende mit dem Rechtsöffnungsersuchenden nicht identisch ist, was zu einem Nichteintreten führt (Stücheli, Die Rechtsöffnung, Zürich 2000, S. 170 Fn. 20). Un- bestritten ist, dass vorliegend die Gesuchstellerin und C._____ sel. die Betreiben- den sind (Urk. 5/6), wohingegen die Gesuchstellerin allein die Rechtsöffnungsersu- chende ist (Urk. 1). Dass C._____ sel. am tt.mm.2024 verstarb ist und sie als Wil- lensvollstreckerin eingesetzt wurde, bringt die Gesuchstellerin erstmals im Be- schwerdeverfahren und damit verspätet vor (vgl. Art. 326 Abs. 1 ZPO sowie oben E. 2.2). Dieses Vorbringen sowie das diesbezüglich eingereichte Beweismittel (Urk. 11) haben daher unberücksichtigt zu bleiben. Damit bleibt es dabei, dass es vorlie- gend an der Identität zwischen dem Betreibenden und dem um Rechtsöffnungser- suchenden fehlt, sodass auf das Rechtsöffnungsgesuch der Gesuchstellerin nicht einzutreten ist. Der vorinstanzliche Entscheid ist somit nicht zu beanstanden. Die Beschwerde der Gesuchstellerin erweist sich damit als offensichtlich unbegründet, weshalb sie abzuweisen ist. Der Vollständigkeit halber ist darauf hinzuweisen, dass es der Gesuchstellerin frei steht, eine neue Betreibung für die ausstehenden Lohnzahlungen gegen die Ge- suchsgegnerin einzuleiten. Dies erscheint naheliegend, als mit Blick auf die vorlie- genden Unterlagen (Urk. 2/1 und 5/8) die Gesuchstellerin Alleingläubigerin der zu- grunde liegenden Lohnforderung zu sein scheint. 4. Die Entscheidgebühr für das Beschwerdeverfahren ist in Anwendung von Art. 48 in Verbindung mit Art. 61 Abs. 1 GebV SchKG und ausgehend von einem Streitwert von Fr. 50'618.95 auf Fr. 500.– festzusetzen. Die Gerichtskosten sind ausgangsgemäss der Gesuchstellerin aufzuerlegen (Art. 106 Abs. 1 ZPO). Partei- entschädigungen sind im Beschwerdeverfahren keine zuzusprechen, der Gesuch- stellerin infolge ihres Unterliegens, der Gesuchsgegnerin mangels relevanter Um- 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