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RT240197 vom 7. Januar 2025</w:t>
      </w:r>
    </w:p>
    <w:p>
      <w:r>
        <w:t>ZH Obergericht, 2025-01-07, DE</w:t>
      </w:r>
    </w:p>
    <w:p>
      <w:r>
        <w:rPr>
          <w:b/>
        </w:rPr>
        <w:t xml:space="preserve">Quelle: </w:t>
      </w:r>
      <w:r>
        <w:t>https://mcp.opencaselaw.ch/entscheid/zh_obergericht_RT240197</w:t>
      </w:r>
    </w:p>
    <w:p>
      <w:r>
        <w:t>FR: ZH_OBERGERICHT RT240197 du 7 janvier 2025</w:t>
      </w:r>
    </w:p>
    <w:p>
      <w:r>
        <w:t>IT: ZH_OBERGERICHT RT240197 del 7 gennaio 2025</w:t>
      </w:r>
    </w:p>
    <w:p>
      <w:pPr>
        <w:pStyle w:val="Heading2"/>
      </w:pPr>
      <w:r>
        <w:t>Erwägungen</w:t>
      </w:r>
    </w:p>
    <w:p>
      <w:r>
        <w:rPr>
          <w:b/>
        </w:rPr>
        <w:t>E. 2</w:t>
      </w:r>
    </w:p>
    <w:p>
      <w:r>
        <w:t>Der Gesuchsgegner macht geltend, dass einerseits "beim zuständigen Gericht" Befangenheit in anderer Sache habe nachgewiesen werden können. An- dererseits sei das Schreiben durch eine nicht empfangsberechtigte Person entge- gengenommen worden. Entgegen den Behauptungen der Gesuchstellerin seien – wie von der Gesuchstellerin selbst dokumentiert – die Zustellungen nicht vorge- nommen worden respektive seien nicht bei ihm angekommen. Ebenso sei falsch, dass eine Rechtskraft- und Vollstreckbarkeitsbescheinigung erlangt worden sei. Auch in diesem Fall sei keine Zustellung erfolgt (Urk. 1). 3.1. Sofern der Gesuchsgegner die Befangenheit der Vorinstanz im vorlie- genden Verfahren geltend machen möchte, hat er bei der Vorinstanz ein Ausstandsgesuch zu stellen (Art. 49 Abs. 1 ZPO). Die beschliessende Kammer ist hierfür nicht zuständig. 3.2. Soweit der Gesuchsgegner geltend macht, dass das Schreiben von ei- ner nicht empfangsberechtigten Person entgegengenommen worden sei (Urk. 1), ist unklar, ob er sich damit auf die Verfügung vom 18. November 2024 oder eine andere Sendung bezieht. Gemäss Sendungsverfolgung der Post ist die Verfügung vom 18. November 2024 dem Gesuchsgegner persönlich zugestellt worden</w:t>
      </w:r>
    </w:p>
    <w:p>
      <w:r>
        <w:t>- 3 - (Urk. 5/5/2). Sollte dies nicht zutreffen, so wäre dies ein Fehler seitens der Post, nicht der Vorinstanz. Inwiefern dem Gesuchsgegner daraus ein Nachteil erwachsen sein soll, welcher durch die beschliessende Kammer korrigiert werden kann, legt er zudem nicht dar und ist auch nicht ersichtlich. 3.3. Der angefochtene Entscheid, mit welchem das schriftliche Verfahren an- geordnet und die Gesuchsgegnerin zur Stellungnahme aufgefordert wurde, stellt sodann eine prozessleitende Verfügung dar, gegen welche nur in den vom Gesetz bestimmten Fällen oder im Falle eines nicht leicht wiedergutzumachenden Nach- teils Beschwerde geführt werden kann (Art. 319 lit. b ZPO), worauf die Vorinstanz in der Rechtsmittelbelehrung ausdrücklich hinwies (Urk. 2 S. 3). Ein vom Gesetz bestimmter Fall liegt nicht vor. Der Gesuchsgegner wendet sich mit seinen Ausfüh- rungen gegen die Forderung der Gesuchstellerin und erhebt Einwendungen gegen deren Vollstreckbarkeit (Urk. 1). Damit tut er indes keinen nicht leicht wiedergutzu- machenden Nachteil dar, der ihm durch die Fristansetzung zur schriftlichen Stel- lungnahme erwachsen könnte respektive sich nicht durch einen für ihn günstigen Endentscheid beheben liesse. Auf die Beschwerde ist somit aus den genannten Gründen nicht einzutreten.</w:t>
      </w:r>
    </w:p>
    <w:p>
      <w:r>
        <w:rPr>
          <w:b/>
        </w:rPr>
        <w:t>E. 4</w:t>
      </w:r>
    </w:p>
    <w:p>
      <w:r>
        <w:t>Für das Beschwerdeverfahren beträgt der Streitwert Fr. 2'146.45. Die zweitinstanzliche Entscheidgebühr ist in Anwendung von Art. 48 i.V.m. Art. 61 Abs. 1 GebV SchKG auf Fr. 300.– festzusetzen und ausgangsgemäss dem Ge- suchsgegner aufzuerlegen (Art. 106 Abs. 1 ZPO). Parteientschädigungen sind keine zuzusprechen, da der Gesuchsgegner unterliegt und den Gesuchstellern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